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E941D" w14:textId="77777777" w:rsidR="003E4797" w:rsidRDefault="002D45DD">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 Kingsbury Green Academy</w:t>
      </w:r>
    </w:p>
    <w:p w14:paraId="16B48015" w14:textId="77777777" w:rsidR="003E4797" w:rsidRDefault="002D45DD">
      <w:pPr>
        <w:pStyle w:val="Heading2"/>
        <w:rPr>
          <w:b w:val="0"/>
          <w:bCs/>
          <w:color w:val="auto"/>
          <w:sz w:val="24"/>
          <w:szCs w:val="24"/>
        </w:rPr>
      </w:pPr>
      <w:r>
        <w:rPr>
          <w:b w:val="0"/>
          <w:bCs/>
          <w:color w:val="auto"/>
          <w:sz w:val="24"/>
          <w:szCs w:val="24"/>
        </w:rPr>
        <w:t xml:space="preserve">This statement details our school’s use of pupil premium (and recovery premium) funding to help improve the attainment of our disadvantaged pupils. </w:t>
      </w:r>
    </w:p>
    <w:p w14:paraId="59E3C941" w14:textId="77777777" w:rsidR="003E4797" w:rsidRDefault="002D45DD">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outcomes for disadvantaged pupils last academic year. </w:t>
      </w:r>
    </w:p>
    <w:p w14:paraId="2A34850A" w14:textId="77777777" w:rsidR="003E4797" w:rsidRDefault="002D45DD">
      <w:pPr>
        <w:pStyle w:val="Heading2"/>
      </w:pPr>
      <w:r>
        <w:t>School overview</w:t>
      </w:r>
      <w:bookmarkEnd w:id="5"/>
      <w:bookmarkEnd w:id="6"/>
      <w:bookmarkEnd w:id="7"/>
      <w:bookmarkEnd w:id="8"/>
      <w:bookmarkEnd w:id="9"/>
      <w:bookmarkEnd w:id="10"/>
      <w:bookmarkEnd w:id="11"/>
      <w:bookmarkEnd w:id="12"/>
      <w:bookmarkEnd w:id="13"/>
    </w:p>
    <w:tbl>
      <w:tblPr>
        <w:tblW w:w="5153" w:type="pct"/>
        <w:tblCellMar>
          <w:left w:w="10" w:type="dxa"/>
          <w:right w:w="10" w:type="dxa"/>
        </w:tblCellMar>
        <w:tblLook w:val="04A0" w:firstRow="1" w:lastRow="0" w:firstColumn="1" w:lastColumn="0" w:noHBand="0" w:noVBand="1"/>
      </w:tblPr>
      <w:tblGrid>
        <w:gridCol w:w="6232"/>
        <w:gridCol w:w="3544"/>
      </w:tblGrid>
      <w:tr w:rsidR="003E4797" w14:paraId="1A7D03FA"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C39D6EF" w14:textId="77777777" w:rsidR="003E4797" w:rsidRDefault="002D45DD">
            <w:pPr>
              <w:pStyle w:val="TableHeader"/>
              <w:jc w:val="left"/>
            </w:pPr>
            <w:r>
              <w:t>Detail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1A59785" w14:textId="77777777" w:rsidR="003E4797" w:rsidRDefault="002D45DD">
            <w:pPr>
              <w:pStyle w:val="TableHeader"/>
              <w:ind w:left="0"/>
              <w:jc w:val="left"/>
            </w:pPr>
            <w:r>
              <w:t>Data</w:t>
            </w:r>
          </w:p>
        </w:tc>
      </w:tr>
      <w:tr w:rsidR="003E4797" w14:paraId="1989DF7D"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130BB" w14:textId="77777777" w:rsidR="003E4797" w:rsidRDefault="002D45DD">
            <w:pPr>
              <w:pStyle w:val="TableRow"/>
            </w:pPr>
            <w:r>
              <w:t>School name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6E05" w14:textId="77777777" w:rsidR="003E4797" w:rsidRDefault="002D45DD">
            <w:pPr>
              <w:pStyle w:val="TableRow"/>
              <w:ind w:left="0"/>
            </w:pPr>
            <w:r>
              <w:t>Kingsbury Green Academy</w:t>
            </w:r>
          </w:p>
        </w:tc>
      </w:tr>
      <w:tr w:rsidR="003E4797" w14:paraId="4B10D337"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8ADC3" w14:textId="77777777" w:rsidR="003E4797" w:rsidRDefault="002D45DD">
            <w:pPr>
              <w:pStyle w:val="TableRow"/>
            </w:pPr>
            <w:r>
              <w:t xml:space="preserve">Number of pupils in school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01331" w14:textId="77777777" w:rsidR="003E4797" w:rsidRDefault="002D45DD">
            <w:pPr>
              <w:pStyle w:val="TableRow"/>
              <w:ind w:left="0"/>
            </w:pPr>
            <w:r>
              <w:t>1068</w:t>
            </w:r>
          </w:p>
        </w:tc>
      </w:tr>
      <w:tr w:rsidR="003E4797" w14:paraId="276018AC"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62F32" w14:textId="77777777" w:rsidR="003E4797" w:rsidRDefault="002D45DD">
            <w:pPr>
              <w:pStyle w:val="TableRow"/>
            </w:pPr>
            <w:r>
              <w:t>Proportion (%) of pupil premium eligible pupils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88F52" w14:textId="77777777" w:rsidR="003E4797" w:rsidRDefault="002D45DD">
            <w:pPr>
              <w:pStyle w:val="TableRow"/>
              <w:ind w:left="0"/>
            </w:pPr>
            <w:r>
              <w:t>24%</w:t>
            </w:r>
          </w:p>
        </w:tc>
      </w:tr>
      <w:tr w:rsidR="003E4797" w14:paraId="613B7002"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D69DF" w14:textId="77777777" w:rsidR="003E4797" w:rsidRDefault="002D45DD">
            <w:pPr>
              <w:pStyle w:val="TableRow"/>
            </w:pPr>
            <w:r>
              <w:rPr>
                <w:szCs w:val="22"/>
              </w:rPr>
              <w:t>Academic year/years that our current pupil premium strategy plan covers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6A7F3" w14:textId="77777777" w:rsidR="003E4797" w:rsidRDefault="002D45DD">
            <w:pPr>
              <w:pStyle w:val="TableRow"/>
              <w:ind w:left="0"/>
            </w:pPr>
            <w:r>
              <w:t xml:space="preserve">2023 – 2024 </w:t>
            </w:r>
          </w:p>
          <w:p w14:paraId="6084F543" w14:textId="77777777" w:rsidR="003E4797" w:rsidRDefault="002D45DD" w:rsidP="3580ACE8">
            <w:pPr>
              <w:pStyle w:val="TableRow"/>
              <w:ind w:left="0"/>
            </w:pPr>
            <w:r>
              <w:t>2024 – 2025</w:t>
            </w:r>
          </w:p>
          <w:p w14:paraId="4230C2F1" w14:textId="77777777" w:rsidR="003E4797" w:rsidRDefault="002D45DD">
            <w:pPr>
              <w:pStyle w:val="TableRow"/>
              <w:ind w:left="0"/>
            </w:pPr>
            <w:r w:rsidRPr="3580ACE8">
              <w:rPr>
                <w:b/>
                <w:bCs/>
              </w:rPr>
              <w:t>2025 – 2026</w:t>
            </w:r>
            <w:r>
              <w:t xml:space="preserve"> </w:t>
            </w:r>
          </w:p>
        </w:tc>
      </w:tr>
      <w:tr w:rsidR="003E4797" w14:paraId="246398EC"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BFFB4" w14:textId="77777777" w:rsidR="003E4797" w:rsidRDefault="002D45DD">
            <w:pPr>
              <w:pStyle w:val="TableRow"/>
            </w:pPr>
            <w:r>
              <w:rPr>
                <w:szCs w:val="22"/>
              </w:rPr>
              <w:t>Date this statement was published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7CF2" w14:textId="7A498BCE" w:rsidR="003E4797" w:rsidRDefault="002D45DD">
            <w:pPr>
              <w:pStyle w:val="TableRow"/>
              <w:ind w:left="0"/>
            </w:pPr>
            <w:r>
              <w:t>Dec 2024</w:t>
            </w:r>
            <w:r w:rsidR="00E65C07">
              <w:t xml:space="preserve"> (reviewed annually)</w:t>
            </w:r>
          </w:p>
        </w:tc>
      </w:tr>
      <w:tr w:rsidR="003E4797" w14:paraId="1FAF6A73"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25AC7" w14:textId="4E49DFC6" w:rsidR="003E4797" w:rsidRDefault="002D45DD">
            <w:pPr>
              <w:pStyle w:val="TableRow"/>
            </w:pPr>
            <w:r>
              <w:rPr>
                <w:szCs w:val="22"/>
              </w:rPr>
              <w:t>Date on which it will</w:t>
            </w:r>
            <w:r w:rsidR="00E65C07">
              <w:rPr>
                <w:szCs w:val="22"/>
              </w:rPr>
              <w:t xml:space="preserve"> next</w:t>
            </w:r>
            <w:bookmarkStart w:id="14" w:name="_GoBack"/>
            <w:bookmarkEnd w:id="14"/>
            <w:r>
              <w:rPr>
                <w:szCs w:val="22"/>
              </w:rPr>
              <w:t xml:space="preserve"> be reviewed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4DF4" w14:textId="627AD7EE" w:rsidR="003E4797" w:rsidRPr="00E65C07" w:rsidRDefault="002D45DD">
            <w:pPr>
              <w:pStyle w:val="TableRow"/>
              <w:ind w:left="0"/>
              <w:rPr>
                <w:b/>
              </w:rPr>
            </w:pPr>
            <w:r w:rsidRPr="00E65C07">
              <w:rPr>
                <w:b/>
              </w:rPr>
              <w:t>Oct 20</w:t>
            </w:r>
            <w:r w:rsidR="00E65C07" w:rsidRPr="00E65C07">
              <w:rPr>
                <w:b/>
              </w:rPr>
              <w:t>26</w:t>
            </w:r>
          </w:p>
        </w:tc>
      </w:tr>
      <w:tr w:rsidR="003E4797" w14:paraId="5CEA5002"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76D6A" w14:textId="77777777" w:rsidR="003E4797" w:rsidRDefault="002D45DD">
            <w:pPr>
              <w:pStyle w:val="TableRow"/>
            </w:pPr>
            <w:r>
              <w:t>Statement authorised by</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B4836" w14:textId="77777777" w:rsidR="003E4797" w:rsidRDefault="002D45DD">
            <w:pPr>
              <w:pStyle w:val="TableRow"/>
              <w:ind w:left="0"/>
            </w:pPr>
            <w:r>
              <w:t>N Bull</w:t>
            </w:r>
          </w:p>
          <w:p w14:paraId="2402DD7A" w14:textId="77777777" w:rsidR="003E4797" w:rsidRDefault="002D45DD">
            <w:pPr>
              <w:pStyle w:val="TableRow"/>
              <w:ind w:left="0"/>
            </w:pPr>
            <w:r>
              <w:t xml:space="preserve">Headteacher </w:t>
            </w:r>
          </w:p>
        </w:tc>
      </w:tr>
      <w:tr w:rsidR="003E4797" w14:paraId="0727B4AE"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43489" w14:textId="77777777" w:rsidR="003E4797" w:rsidRDefault="002D45DD">
            <w:pPr>
              <w:pStyle w:val="TableRow"/>
            </w:pPr>
            <w:r>
              <w:t>Pupil premium lead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90763" w14:textId="1C3B1A61" w:rsidR="003E4797" w:rsidRDefault="00E65C07">
            <w:pPr>
              <w:pStyle w:val="TableRow"/>
              <w:ind w:left="0"/>
            </w:pPr>
            <w:r>
              <w:t>R Wood</w:t>
            </w:r>
          </w:p>
          <w:p w14:paraId="4B24967B" w14:textId="77777777" w:rsidR="003E4797" w:rsidRDefault="002D45DD">
            <w:pPr>
              <w:pStyle w:val="TableRow"/>
              <w:ind w:left="0"/>
            </w:pPr>
            <w:r>
              <w:t>Deputy Headteacher</w:t>
            </w:r>
          </w:p>
        </w:tc>
      </w:tr>
      <w:tr w:rsidR="003E4797" w14:paraId="59E4B240" w14:textId="77777777" w:rsidTr="00E65C07">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D8681" w14:textId="77777777" w:rsidR="003E4797" w:rsidRDefault="002D45DD">
            <w:pPr>
              <w:pStyle w:val="TableRow"/>
            </w:pPr>
            <w:r>
              <w:t xml:space="preserve">Governor </w:t>
            </w:r>
            <w:r>
              <w:rPr>
                <w:szCs w:val="22"/>
              </w:rPr>
              <w:t xml:space="preserve">/ Trustee </w:t>
            </w:r>
            <w:r>
              <w:t>lead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F4FAB" w14:textId="77777777" w:rsidR="003E4797" w:rsidRDefault="002D45DD">
            <w:pPr>
              <w:pStyle w:val="TableRow"/>
              <w:ind w:left="0"/>
            </w:pPr>
            <w:r>
              <w:t>C Cameron</w:t>
            </w:r>
          </w:p>
          <w:p w14:paraId="3EAD78F6" w14:textId="77777777" w:rsidR="003E4797" w:rsidRDefault="002D45DD">
            <w:pPr>
              <w:pStyle w:val="TableRow"/>
              <w:ind w:left="0"/>
            </w:pPr>
            <w:r>
              <w:t xml:space="preserve">Chair of Local Governors </w:t>
            </w:r>
          </w:p>
        </w:tc>
      </w:tr>
    </w:tbl>
    <w:bookmarkEnd w:id="2"/>
    <w:bookmarkEnd w:id="3"/>
    <w:bookmarkEnd w:id="4"/>
    <w:p w14:paraId="7E66F639" w14:textId="77777777" w:rsidR="003E4797" w:rsidRDefault="002D45DD">
      <w:pPr>
        <w:spacing w:before="480" w:line="240" w:lineRule="auto"/>
        <w:rPr>
          <w:b/>
          <w:color w:val="104F75"/>
          <w:sz w:val="32"/>
          <w:szCs w:val="32"/>
        </w:rPr>
      </w:pPr>
      <w:r>
        <w:rPr>
          <w:b/>
          <w:color w:val="104F75"/>
          <w:sz w:val="32"/>
          <w:szCs w:val="32"/>
        </w:rPr>
        <w:t>Funding overview</w:t>
      </w:r>
    </w:p>
    <w:tbl>
      <w:tblPr>
        <w:tblW w:w="9776" w:type="dxa"/>
        <w:tblCellMar>
          <w:left w:w="10" w:type="dxa"/>
          <w:right w:w="10" w:type="dxa"/>
        </w:tblCellMar>
        <w:tblLook w:val="04A0" w:firstRow="1" w:lastRow="0" w:firstColumn="1" w:lastColumn="0" w:noHBand="0" w:noVBand="1"/>
      </w:tblPr>
      <w:tblGrid>
        <w:gridCol w:w="6516"/>
        <w:gridCol w:w="3260"/>
      </w:tblGrid>
      <w:tr w:rsidR="003E4797" w14:paraId="5D1650B5"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DA3B5D7" w14:textId="77777777" w:rsidR="003E4797" w:rsidRDefault="002D45DD">
            <w:pPr>
              <w:pStyle w:val="TableRow"/>
            </w:pPr>
            <w:r>
              <w:rPr>
                <w:b/>
              </w:rPr>
              <w:t>Detail</w:t>
            </w:r>
          </w:p>
        </w:t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06C24BAA" w14:textId="77777777" w:rsidR="003E4797" w:rsidRDefault="002D45DD">
            <w:pPr>
              <w:pStyle w:val="TableRow"/>
            </w:pPr>
            <w:r>
              <w:rPr>
                <w:b/>
              </w:rPr>
              <w:t>Amount</w:t>
            </w:r>
          </w:p>
        </w:tc>
      </w:tr>
      <w:tr w:rsidR="003E4797" w14:paraId="7A75758A"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1D618" w14:textId="77777777" w:rsidR="003E4797" w:rsidRDefault="002D45DD">
            <w:pPr>
              <w:pStyle w:val="TableRow"/>
            </w:pPr>
            <w:r>
              <w:t>Pupil premium funding allocation this academic year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7F00" w14:textId="77777777" w:rsidR="003E4797" w:rsidRDefault="002D45DD">
            <w:pPr>
              <w:pStyle w:val="TableRow"/>
            </w:pPr>
            <w:r>
              <w:t>£229950</w:t>
            </w:r>
          </w:p>
        </w:tc>
      </w:tr>
      <w:tr w:rsidR="003E4797" w14:paraId="6BC18C26"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ED7EA" w14:textId="77777777" w:rsidR="003E4797" w:rsidRDefault="002D45DD">
            <w:pPr>
              <w:pStyle w:val="TableRow"/>
            </w:pPr>
            <w:r>
              <w:t>Recovery premium funding allocation this academic year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1CCCA" w14:textId="77777777" w:rsidR="003E4797" w:rsidRDefault="002D45DD">
            <w:pPr>
              <w:pStyle w:val="TableRow"/>
            </w:pPr>
            <w:r>
              <w:t>£0</w:t>
            </w:r>
          </w:p>
        </w:tc>
      </w:tr>
      <w:tr w:rsidR="003E4797" w14:paraId="5E5C9002"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C5027" w14:textId="77777777" w:rsidR="003E4797" w:rsidRDefault="002D45DD">
            <w:pPr>
              <w:pStyle w:val="TableRow"/>
            </w:pPr>
            <w:r>
              <w:t>Pupil premium funding carried forward from previous years (enter £0 if not applicable)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1D4EB" w14:textId="77777777" w:rsidR="003E4797" w:rsidRDefault="002D45DD">
            <w:pPr>
              <w:pStyle w:val="TableRow"/>
            </w:pPr>
            <w:r>
              <w:t xml:space="preserve">£0 </w:t>
            </w:r>
          </w:p>
        </w:tc>
      </w:tr>
      <w:tr w:rsidR="003E4797" w14:paraId="1019DF42"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94205" w14:textId="77777777" w:rsidR="003E4797" w:rsidRDefault="002D45DD">
            <w:pPr>
              <w:pStyle w:val="TableRow"/>
              <w:rPr>
                <w:b/>
              </w:rPr>
            </w:pPr>
            <w:r>
              <w:rPr>
                <w:b/>
              </w:rPr>
              <w:t>Total budget for this academic year</w:t>
            </w:r>
          </w:p>
          <w:p w14:paraId="1DADFD66" w14:textId="77777777" w:rsidR="003E4797" w:rsidRDefault="002D45DD">
            <w:pPr>
              <w:pStyle w:val="TableRow"/>
            </w:pPr>
            <w:r>
              <w:t xml:space="preserve">If your school is an academy in a trust that pools this funding, state the amount available to your school this academic year </w:t>
            </w:r>
          </w:p>
          <w:p w14:paraId="1284837D" w14:textId="77777777" w:rsidR="003E4797" w:rsidRDefault="002D45DD">
            <w:pPr>
              <w:pStyle w:val="TableRow"/>
            </w:pPr>
            <w:r>
              <w:t>(PP+ funding and service funding is not included)</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404CC" w14:textId="77777777" w:rsidR="003E4797" w:rsidRDefault="002D45DD">
            <w:pPr>
              <w:pStyle w:val="TableRow"/>
            </w:pPr>
            <w:r>
              <w:t>£229950</w:t>
            </w:r>
          </w:p>
          <w:p w14:paraId="672A6659" w14:textId="77777777" w:rsidR="003E4797" w:rsidRDefault="003E4797">
            <w:pPr>
              <w:pStyle w:val="TableRow"/>
            </w:pPr>
          </w:p>
          <w:p w14:paraId="47ED6F6F" w14:textId="77777777" w:rsidR="003E4797" w:rsidRDefault="002D45DD">
            <w:pPr>
              <w:pStyle w:val="TableRow"/>
            </w:pPr>
            <w:r>
              <w:t>(2023-24 £276621)</w:t>
            </w:r>
          </w:p>
        </w:tc>
      </w:tr>
    </w:tbl>
    <w:p w14:paraId="4EC001B4" w14:textId="77777777" w:rsidR="003E4797" w:rsidRDefault="002D45DD">
      <w:pPr>
        <w:pStyle w:val="Heading1"/>
      </w:pPr>
      <w:r>
        <w:lastRenderedPageBreak/>
        <w:t>Part A: Pupil premium strategy plan</w:t>
      </w:r>
    </w:p>
    <w:p w14:paraId="0A37501D" w14:textId="162BD994" w:rsidR="003E4797" w:rsidRDefault="002D45DD" w:rsidP="00F85270">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3E4797" w14:paraId="7C6902EC"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B6C7B" w14:textId="77777777" w:rsidR="003E4797" w:rsidRDefault="003E4797">
            <w:pPr>
              <w:suppressAutoHyphens w:val="0"/>
              <w:autoSpaceDN/>
              <w:spacing w:after="0" w:line="240" w:lineRule="auto"/>
              <w:contextualSpacing/>
              <w:rPr>
                <w:sz w:val="22"/>
              </w:rPr>
            </w:pPr>
            <w:bookmarkStart w:id="17" w:name="_Hlk121059498"/>
          </w:p>
          <w:p w14:paraId="7991CC90" w14:textId="77777777" w:rsidR="003E4797" w:rsidRDefault="002D45DD">
            <w:pPr>
              <w:suppressAutoHyphens w:val="0"/>
              <w:autoSpaceDN/>
              <w:spacing w:after="0" w:line="240" w:lineRule="auto"/>
              <w:contextualSpacing/>
              <w:rPr>
                <w:sz w:val="22"/>
              </w:rPr>
            </w:pPr>
            <w:r>
              <w:rPr>
                <w:sz w:val="22"/>
              </w:rPr>
              <w:t xml:space="preserve">At Kingsbury Green Academy our intention is that all pupils, irrespective of their background or the challenges they face, make good progress and achieve high attainment across the curriculum. The focus of our pupil premium strategy is to support disadvantaged pupils to achieve that goal. </w:t>
            </w:r>
          </w:p>
          <w:p w14:paraId="02EB378F" w14:textId="77777777" w:rsidR="003E4797" w:rsidRDefault="003E4797">
            <w:pPr>
              <w:suppressAutoHyphens w:val="0"/>
              <w:autoSpaceDN/>
              <w:spacing w:after="0" w:line="240" w:lineRule="auto"/>
              <w:contextualSpacing/>
              <w:rPr>
                <w:sz w:val="22"/>
              </w:rPr>
            </w:pPr>
          </w:p>
          <w:p w14:paraId="106DA765" w14:textId="77777777" w:rsidR="003E4797" w:rsidRDefault="002D45DD">
            <w:pPr>
              <w:suppressAutoHyphens w:val="0"/>
              <w:autoSpaceDN/>
              <w:spacing w:after="0" w:line="240" w:lineRule="auto"/>
              <w:contextualSpacing/>
              <w:rPr>
                <w:sz w:val="22"/>
              </w:rPr>
            </w:pPr>
            <w:r>
              <w:rPr>
                <w:sz w:val="22"/>
              </w:rPr>
              <w:t xml:space="preserve">We will consider the challenges faced by vulnerable pupils, such as those who have a social worker and young carers and the activity we have outlined in this statement is also intended to support their needs, regardless of whether they are disadvantaged or not. </w:t>
            </w:r>
          </w:p>
          <w:p w14:paraId="6A05A809" w14:textId="77777777" w:rsidR="003E4797" w:rsidRDefault="003E4797">
            <w:pPr>
              <w:suppressAutoHyphens w:val="0"/>
              <w:autoSpaceDN/>
              <w:spacing w:after="0" w:line="240" w:lineRule="auto"/>
              <w:contextualSpacing/>
              <w:rPr>
                <w:sz w:val="22"/>
              </w:rPr>
            </w:pPr>
          </w:p>
          <w:p w14:paraId="0B1088C9" w14:textId="77777777" w:rsidR="003E4797" w:rsidRDefault="002D45DD">
            <w:pPr>
              <w:suppressAutoHyphens w:val="0"/>
              <w:autoSpaceDN/>
              <w:spacing w:after="0" w:line="240" w:lineRule="auto"/>
              <w:contextualSpacing/>
              <w:rPr>
                <w:sz w:val="22"/>
              </w:rPr>
            </w:pPr>
            <w:r>
              <w:rPr>
                <w:sz w:val="22"/>
              </w:rPr>
              <w:t xml:space="preserve">Decisions to support the progress of disadvantaged pupils are at the centre of all strategic decisions at Kingsbury Green Academy. Research informed practice regarding our teaching and learning strategy; the KGA Learning cycle, disciplinary literacy and assessment, are founded in approaches that make the greatest impact on disadvantaged pupils. We understand that the greatest influencer on closing the disadvantage attainment gap is great teaching and learning, and at the same time this will benefit the non-disadvantaged pupils in our school. Disciplinary literacy is the focus of closing this gap and the whole school literacy plan reflects how important this is for our disadvantaged learners. </w:t>
            </w:r>
          </w:p>
          <w:p w14:paraId="5A39BBE3" w14:textId="77777777" w:rsidR="003E4797" w:rsidRDefault="003E4797">
            <w:pPr>
              <w:suppressAutoHyphens w:val="0"/>
              <w:autoSpaceDN/>
              <w:spacing w:after="0" w:line="240" w:lineRule="auto"/>
              <w:contextualSpacing/>
              <w:rPr>
                <w:sz w:val="22"/>
              </w:rPr>
            </w:pPr>
          </w:p>
          <w:p w14:paraId="22EE581F" w14:textId="77777777" w:rsidR="003E4797" w:rsidRDefault="002D45DD">
            <w:pPr>
              <w:suppressAutoHyphens w:val="0"/>
              <w:autoSpaceDN/>
              <w:spacing w:after="0" w:line="240" w:lineRule="auto"/>
              <w:contextualSpacing/>
              <w:rPr>
                <w:sz w:val="22"/>
              </w:rPr>
            </w:pPr>
            <w:r>
              <w:rPr>
                <w:sz w:val="22"/>
              </w:rPr>
              <w:t xml:space="preserve">Our strategy is also integral to wider school plans for education recovery following the COVID-19 pandemic. Our approach will be responsive to common challenges and individual needs, rooted in robust diagnostic assessment, not assumptions about the impact of disadvantage. The approaches we have adopted complement each other to help pupils excel. </w:t>
            </w:r>
          </w:p>
          <w:p w14:paraId="41C8F396" w14:textId="77777777" w:rsidR="003E4797" w:rsidRDefault="003E4797">
            <w:pPr>
              <w:suppressAutoHyphens w:val="0"/>
              <w:autoSpaceDN/>
              <w:spacing w:after="0" w:line="240" w:lineRule="auto"/>
              <w:contextualSpacing/>
              <w:rPr>
                <w:sz w:val="22"/>
              </w:rPr>
            </w:pPr>
          </w:p>
          <w:p w14:paraId="60B8DD75" w14:textId="77777777" w:rsidR="003E4797" w:rsidRDefault="002D45DD">
            <w:pPr>
              <w:suppressAutoHyphens w:val="0"/>
              <w:autoSpaceDN/>
              <w:spacing w:after="0" w:line="240" w:lineRule="auto"/>
              <w:contextualSpacing/>
              <w:rPr>
                <w:sz w:val="22"/>
              </w:rPr>
            </w:pPr>
            <w:r>
              <w:rPr>
                <w:sz w:val="22"/>
              </w:rPr>
              <w:t xml:space="preserve">We will: </w:t>
            </w:r>
          </w:p>
          <w:p w14:paraId="72A3D3EC" w14:textId="77777777" w:rsidR="003E4797" w:rsidRDefault="003E4797">
            <w:pPr>
              <w:suppressAutoHyphens w:val="0"/>
              <w:autoSpaceDN/>
              <w:spacing w:after="0" w:line="240" w:lineRule="auto"/>
              <w:contextualSpacing/>
              <w:rPr>
                <w:sz w:val="22"/>
              </w:rPr>
            </w:pPr>
          </w:p>
          <w:p w14:paraId="7DC7C16B" w14:textId="77777777" w:rsidR="003E4797" w:rsidRDefault="002D45DD">
            <w:pPr>
              <w:pStyle w:val="ListParagraph"/>
              <w:numPr>
                <w:ilvl w:val="0"/>
                <w:numId w:val="28"/>
              </w:numPr>
              <w:suppressAutoHyphens w:val="0"/>
              <w:autoSpaceDN/>
              <w:spacing w:after="0" w:line="240" w:lineRule="auto"/>
              <w:rPr>
                <w:sz w:val="22"/>
              </w:rPr>
            </w:pPr>
            <w:r>
              <w:rPr>
                <w:sz w:val="22"/>
              </w:rPr>
              <w:t xml:space="preserve">ensure all disadvantaged pupils have access to quality first teaching where all staff take responsibility for disadvantaged outcomes through our First PP strategy (prepare, engage, assess) </w:t>
            </w:r>
          </w:p>
          <w:p w14:paraId="0D0B940D" w14:textId="77777777" w:rsidR="003E4797" w:rsidRDefault="003E4797">
            <w:pPr>
              <w:suppressAutoHyphens w:val="0"/>
              <w:autoSpaceDN/>
              <w:spacing w:after="0" w:line="240" w:lineRule="auto"/>
              <w:contextualSpacing/>
              <w:rPr>
                <w:sz w:val="22"/>
              </w:rPr>
            </w:pPr>
          </w:p>
          <w:p w14:paraId="587C5979" w14:textId="77777777" w:rsidR="003E4797" w:rsidRDefault="002D45DD">
            <w:pPr>
              <w:pStyle w:val="ListParagraph"/>
              <w:numPr>
                <w:ilvl w:val="0"/>
                <w:numId w:val="28"/>
              </w:numPr>
              <w:suppressAutoHyphens w:val="0"/>
              <w:autoSpaceDN/>
              <w:spacing w:after="0" w:line="240" w:lineRule="auto"/>
              <w:rPr>
                <w:sz w:val="22"/>
              </w:rPr>
            </w:pPr>
            <w:r>
              <w:rPr>
                <w:sz w:val="22"/>
              </w:rPr>
              <w:t>ensure all disadvantaged pupils develop aspirations through wider opportunities via visits, mentoring and career guidance/encounters, and are supported to overcome barriers they may face in achieving these aspirations</w:t>
            </w:r>
          </w:p>
          <w:p w14:paraId="0E27B00A" w14:textId="77777777" w:rsidR="003E4797" w:rsidRDefault="003E4797">
            <w:pPr>
              <w:suppressAutoHyphens w:val="0"/>
              <w:autoSpaceDN/>
              <w:spacing w:after="0" w:line="240" w:lineRule="auto"/>
              <w:contextualSpacing/>
              <w:rPr>
                <w:sz w:val="22"/>
              </w:rPr>
            </w:pPr>
          </w:p>
          <w:p w14:paraId="3E5AB7F9" w14:textId="77777777" w:rsidR="003E4797" w:rsidRDefault="002D45DD">
            <w:pPr>
              <w:pStyle w:val="ListParagraph"/>
              <w:numPr>
                <w:ilvl w:val="0"/>
                <w:numId w:val="28"/>
              </w:numPr>
              <w:suppressAutoHyphens w:val="0"/>
              <w:autoSpaceDN/>
              <w:spacing w:after="0" w:line="240" w:lineRule="auto"/>
              <w:rPr>
                <w:sz w:val="22"/>
              </w:rPr>
            </w:pPr>
            <w:r>
              <w:rPr>
                <w:sz w:val="22"/>
              </w:rPr>
              <w:t>ensure all disadvantaged pupils achieve great outcomes through close monitoring, early intervention, and removal of barriers.</w:t>
            </w:r>
          </w:p>
          <w:bookmarkEnd w:id="17"/>
          <w:p w14:paraId="60061E4C" w14:textId="77777777" w:rsidR="003E4797" w:rsidRDefault="003E4797">
            <w:pPr>
              <w:suppressAutoHyphens w:val="0"/>
              <w:autoSpaceDN/>
              <w:spacing w:after="0" w:line="240" w:lineRule="auto"/>
              <w:contextualSpacing/>
            </w:pPr>
          </w:p>
        </w:tc>
      </w:tr>
    </w:tbl>
    <w:p w14:paraId="44EAFD9C" w14:textId="77777777" w:rsidR="003E4797" w:rsidRDefault="003E4797">
      <w:pPr>
        <w:pStyle w:val="Heading2"/>
        <w:spacing w:before="600"/>
      </w:pPr>
    </w:p>
    <w:p w14:paraId="4778478F" w14:textId="77777777" w:rsidR="003E4797" w:rsidRDefault="002D45DD">
      <w:pPr>
        <w:pStyle w:val="Heading2"/>
        <w:spacing w:before="600"/>
      </w:pPr>
      <w:r>
        <w:t>Challenges</w:t>
      </w:r>
    </w:p>
    <w:p w14:paraId="3DEEC669" w14:textId="179F9B25" w:rsidR="003E4797" w:rsidRPr="00F85270" w:rsidRDefault="002D45DD">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learners.</w:t>
      </w:r>
    </w:p>
    <w:tbl>
      <w:tblPr>
        <w:tblW w:w="5000" w:type="pct"/>
        <w:tblCellMar>
          <w:left w:w="10" w:type="dxa"/>
          <w:right w:w="10" w:type="dxa"/>
        </w:tblCellMar>
        <w:tblLook w:val="04A0" w:firstRow="1" w:lastRow="0" w:firstColumn="1" w:lastColumn="0" w:noHBand="0" w:noVBand="1"/>
      </w:tblPr>
      <w:tblGrid>
        <w:gridCol w:w="1477"/>
        <w:gridCol w:w="8009"/>
      </w:tblGrid>
      <w:tr w:rsidR="003E4797" w14:paraId="6AD3A54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B82C95B" w14:textId="77777777" w:rsidR="003E4797" w:rsidRDefault="002D45DD">
            <w:pPr>
              <w:pStyle w:val="TableHeader"/>
              <w:jc w:val="left"/>
            </w:pPr>
            <w:bookmarkStart w:id="18" w:name="_Hlk121059438"/>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0AB49F6" w14:textId="77777777" w:rsidR="003E4797" w:rsidRDefault="002D45DD">
            <w:pPr>
              <w:pStyle w:val="TableHeader"/>
              <w:jc w:val="left"/>
            </w:pPr>
            <w:r>
              <w:t xml:space="preserve">Detail of challenge </w:t>
            </w:r>
          </w:p>
        </w:tc>
      </w:tr>
      <w:tr w:rsidR="003E4797" w14:paraId="54C6C44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841BE" w14:textId="77777777" w:rsidR="003E4797" w:rsidRDefault="002D45DD">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52F1" w14:textId="77777777" w:rsidR="003E4797" w:rsidRDefault="002D45DD">
            <w:pPr>
              <w:pStyle w:val="TableRowCentered"/>
              <w:ind w:left="0"/>
              <w:jc w:val="left"/>
              <w:rPr>
                <w:b/>
                <w:sz w:val="22"/>
                <w:szCs w:val="22"/>
              </w:rPr>
            </w:pPr>
            <w:r>
              <w:rPr>
                <w:b/>
                <w:sz w:val="22"/>
                <w:szCs w:val="22"/>
              </w:rPr>
              <w:t>Attendance</w:t>
            </w:r>
          </w:p>
          <w:p w14:paraId="2270BE77" w14:textId="77777777" w:rsidR="003E4797" w:rsidRDefault="002D45DD">
            <w:pPr>
              <w:spacing w:after="0" w:line="240" w:lineRule="auto"/>
              <w:rPr>
                <w:sz w:val="22"/>
                <w:szCs w:val="22"/>
              </w:rPr>
            </w:pPr>
            <w:r>
              <w:rPr>
                <w:rFonts w:cs="Arial"/>
                <w:iCs/>
                <w:color w:val="auto"/>
                <w:sz w:val="22"/>
                <w:lang w:val="en-US"/>
              </w:rPr>
              <w:t>Nationally the attendance of disadvantaged learners is below that of non-disadvantaged. In 2023-24 FFT reported national disadvantaged attendance as 85.4% compared non-disadvantaged at 94.6%. This gap is replicated at Kingsbury Green Academy.</w:t>
            </w:r>
          </w:p>
        </w:tc>
      </w:tr>
      <w:tr w:rsidR="003E4797" w14:paraId="350E481A"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999B5" w14:textId="77777777" w:rsidR="003E4797" w:rsidRDefault="002D45DD">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3315F" w14:textId="77777777" w:rsidR="003E4797" w:rsidRDefault="002D45DD">
            <w:pPr>
              <w:pStyle w:val="TableRowCentered"/>
              <w:ind w:left="0"/>
              <w:jc w:val="left"/>
              <w:rPr>
                <w:b/>
                <w:iCs/>
                <w:sz w:val="22"/>
                <w:szCs w:val="22"/>
              </w:rPr>
            </w:pPr>
            <w:r>
              <w:rPr>
                <w:b/>
                <w:iCs/>
                <w:sz w:val="22"/>
                <w:szCs w:val="22"/>
              </w:rPr>
              <w:t>Reading below their chronological age and lower academic progress than non-disadvantaged peers</w:t>
            </w:r>
          </w:p>
          <w:p w14:paraId="751E1417" w14:textId="77777777" w:rsidR="003E4797" w:rsidRDefault="002D45DD">
            <w:pPr>
              <w:pStyle w:val="TableRowCentered"/>
              <w:ind w:left="0"/>
              <w:jc w:val="left"/>
              <w:rPr>
                <w:sz w:val="22"/>
                <w:szCs w:val="22"/>
              </w:rPr>
            </w:pPr>
            <w:r>
              <w:rPr>
                <w:sz w:val="22"/>
                <w:szCs w:val="22"/>
              </w:rPr>
              <w:t>Our NGRT results show that there are fewer disadvantaged learners meeting their chronological reading age. In Year 7 (2024-2025) 53% of our disadvantaged learners were not reading at their chronological age compared to 34% of their non-disadvantaged peers.</w:t>
            </w:r>
          </w:p>
        </w:tc>
      </w:tr>
      <w:tr w:rsidR="003E4797" w14:paraId="010877E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D5EC4" w14:textId="77777777" w:rsidR="003E4797" w:rsidRDefault="002D45DD">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7B2A6" w14:textId="77777777" w:rsidR="003E4797" w:rsidRDefault="002D45DD">
            <w:pPr>
              <w:pStyle w:val="TableRowCentered"/>
              <w:ind w:left="0"/>
              <w:jc w:val="left"/>
              <w:rPr>
                <w:b/>
                <w:sz w:val="22"/>
                <w:szCs w:val="22"/>
              </w:rPr>
            </w:pPr>
            <w:r>
              <w:rPr>
                <w:b/>
                <w:sz w:val="22"/>
                <w:szCs w:val="22"/>
              </w:rPr>
              <w:t>Engagement in school and showing an understanding of how to be a successful learner</w:t>
            </w:r>
          </w:p>
          <w:p w14:paraId="57D7222D" w14:textId="77777777" w:rsidR="003E4797" w:rsidRDefault="002D45DD">
            <w:pPr>
              <w:pStyle w:val="TableRowCentered"/>
              <w:ind w:left="0"/>
              <w:jc w:val="left"/>
              <w:rPr>
                <w:sz w:val="22"/>
                <w:szCs w:val="22"/>
              </w:rPr>
            </w:pPr>
            <w:r>
              <w:rPr>
                <w:sz w:val="22"/>
                <w:szCs w:val="22"/>
              </w:rPr>
              <w:t xml:space="preserve">Our disadvantaged learners have historically shown a lower attitude to learning score in reports compared to non-disadvantaged learners. Historically, there is also a gap in engagement in enrichment opportunities.  </w:t>
            </w:r>
          </w:p>
        </w:tc>
      </w:tr>
      <w:tr w:rsidR="003E4797" w14:paraId="01C5EDC3"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DEE6" w14:textId="77777777" w:rsidR="003E4797" w:rsidRDefault="002D45DD">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34CD6" w14:textId="77777777" w:rsidR="003E4797" w:rsidRDefault="002D45DD">
            <w:pPr>
              <w:pStyle w:val="TableRowCentered"/>
              <w:ind w:left="0"/>
              <w:jc w:val="left"/>
              <w:rPr>
                <w:b/>
                <w:iCs/>
                <w:sz w:val="22"/>
                <w:szCs w:val="22"/>
              </w:rPr>
            </w:pPr>
            <w:r>
              <w:rPr>
                <w:b/>
                <w:iCs/>
                <w:sz w:val="22"/>
                <w:szCs w:val="22"/>
              </w:rPr>
              <w:t>Supressed aspirations</w:t>
            </w:r>
          </w:p>
          <w:p w14:paraId="4AEFAF15" w14:textId="77777777" w:rsidR="003E4797" w:rsidRDefault="002D45DD">
            <w:pPr>
              <w:pStyle w:val="TableRowCentered"/>
              <w:ind w:left="0"/>
              <w:jc w:val="left"/>
              <w:rPr>
                <w:iCs/>
                <w:sz w:val="22"/>
                <w:szCs w:val="22"/>
              </w:rPr>
            </w:pPr>
            <w:r>
              <w:rPr>
                <w:iCs/>
                <w:sz w:val="22"/>
                <w:szCs w:val="22"/>
              </w:rPr>
              <w:t xml:space="preserve">Many disadvantaged learners have high aspirations but require support in realising these aspirations. However, as our careers surveys show, some of our disadvantaged learners display supressed aspirations and require additional support to help them aim high. </w:t>
            </w:r>
          </w:p>
        </w:tc>
      </w:tr>
      <w:tr w:rsidR="003E4797" w14:paraId="0A496266"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1E47" w14:textId="77777777" w:rsidR="003E4797" w:rsidRDefault="002D45DD">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ACB13" w14:textId="77777777" w:rsidR="003E4797" w:rsidRDefault="002D45DD">
            <w:pPr>
              <w:pStyle w:val="TableRowCentered"/>
              <w:ind w:left="0"/>
              <w:jc w:val="left"/>
              <w:rPr>
                <w:b/>
                <w:iCs/>
                <w:sz w:val="22"/>
                <w:szCs w:val="22"/>
              </w:rPr>
            </w:pPr>
            <w:r>
              <w:rPr>
                <w:b/>
                <w:iCs/>
                <w:sz w:val="22"/>
                <w:szCs w:val="22"/>
              </w:rPr>
              <w:t>Safeguarding and behavioural needs</w:t>
            </w:r>
          </w:p>
          <w:p w14:paraId="0F0E6996" w14:textId="77777777" w:rsidR="003E4797" w:rsidRDefault="002D45DD">
            <w:pPr>
              <w:pStyle w:val="TableRowCentered"/>
              <w:ind w:left="0"/>
              <w:jc w:val="left"/>
              <w:rPr>
                <w:b/>
                <w:iCs/>
                <w:sz w:val="22"/>
                <w:szCs w:val="22"/>
              </w:rPr>
            </w:pPr>
            <w:r>
              <w:rPr>
                <w:iCs/>
                <w:sz w:val="22"/>
                <w:szCs w:val="22"/>
              </w:rPr>
              <w:t xml:space="preserve">Nationally, learners entitled to free school meals are four times more likely to be permanently excluded. As a school we support all learners, including those who may have been permanently excluded elsewhere. </w:t>
            </w:r>
          </w:p>
        </w:tc>
      </w:tr>
      <w:tr w:rsidR="003E4797" w14:paraId="1666A8F6"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4EA11" w14:textId="77777777" w:rsidR="003E4797" w:rsidRDefault="002D45DD">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D0BC1" w14:textId="77777777" w:rsidR="003E4797" w:rsidRDefault="002D45DD">
            <w:pPr>
              <w:pStyle w:val="TableRowCentered"/>
              <w:ind w:left="0"/>
              <w:jc w:val="left"/>
              <w:rPr>
                <w:b/>
                <w:iCs/>
                <w:sz w:val="22"/>
                <w:szCs w:val="22"/>
              </w:rPr>
            </w:pPr>
            <w:r>
              <w:rPr>
                <w:b/>
                <w:iCs/>
                <w:sz w:val="22"/>
                <w:szCs w:val="22"/>
              </w:rPr>
              <w:t>Parental engagement</w:t>
            </w:r>
          </w:p>
          <w:p w14:paraId="5483FA47" w14:textId="77777777" w:rsidR="003E4797" w:rsidRDefault="002D45DD">
            <w:pPr>
              <w:pStyle w:val="TableRowCentered"/>
              <w:ind w:left="0"/>
              <w:jc w:val="left"/>
              <w:rPr>
                <w:iCs/>
                <w:sz w:val="22"/>
                <w:szCs w:val="22"/>
              </w:rPr>
            </w:pPr>
            <w:r>
              <w:rPr>
                <w:iCs/>
                <w:sz w:val="22"/>
                <w:szCs w:val="22"/>
              </w:rPr>
              <w:t xml:space="preserve">Our data for attendance at parental events shows a gap in attendance between disadvantaged and non-disadvantaged learner’s parents. We know if there is a lack of involvement in school activities there is likely a gap in engagement which is beneficial to a pupil’s success in school.  </w:t>
            </w:r>
          </w:p>
        </w:tc>
      </w:tr>
      <w:tr w:rsidR="003E4797" w14:paraId="0BA478D6" w14:textId="77777777">
        <w:trPr>
          <w:trHeight w:val="77"/>
        </w:trPr>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97EEC" w14:textId="77777777" w:rsidR="003E4797" w:rsidRDefault="002D45DD">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BA970" w14:textId="77777777" w:rsidR="003E4797" w:rsidRDefault="002D45DD">
            <w:pPr>
              <w:pStyle w:val="TableRowCentered"/>
              <w:ind w:left="0"/>
              <w:jc w:val="left"/>
              <w:rPr>
                <w:b/>
                <w:iCs/>
                <w:sz w:val="22"/>
                <w:szCs w:val="22"/>
              </w:rPr>
            </w:pPr>
            <w:r>
              <w:rPr>
                <w:b/>
                <w:iCs/>
                <w:sz w:val="22"/>
                <w:szCs w:val="22"/>
              </w:rPr>
              <w:t>Financial limitations in accessing resources/opportunities to support learning</w:t>
            </w:r>
          </w:p>
          <w:p w14:paraId="393466B9" w14:textId="77777777" w:rsidR="003E4797" w:rsidRDefault="002D45DD">
            <w:pPr>
              <w:pStyle w:val="TableRowCentered"/>
              <w:ind w:left="0"/>
              <w:jc w:val="left"/>
              <w:rPr>
                <w:iCs/>
                <w:sz w:val="22"/>
                <w:szCs w:val="22"/>
              </w:rPr>
            </w:pPr>
            <w:r>
              <w:rPr>
                <w:iCs/>
                <w:sz w:val="22"/>
                <w:szCs w:val="22"/>
              </w:rPr>
              <w:t xml:space="preserve">Learners on free school meals are currently living in households where finances are likely to be limited which may prevent access to educational resources and visits. A small amount funding to ensure all learners can access the essential resources and opportunities to be successful at school will be made available through the pupil premium funding.  </w:t>
            </w:r>
          </w:p>
        </w:tc>
      </w:tr>
    </w:tbl>
    <w:p w14:paraId="05980769" w14:textId="77777777" w:rsidR="003E4797" w:rsidRDefault="002D45DD">
      <w:pPr>
        <w:pStyle w:val="Heading2"/>
        <w:spacing w:before="600"/>
      </w:pPr>
      <w:bookmarkStart w:id="19" w:name="_Toc443397160"/>
      <w:bookmarkEnd w:id="18"/>
      <w:r>
        <w:t xml:space="preserve">Intended outcomes </w:t>
      </w:r>
    </w:p>
    <w:p w14:paraId="355DA4C1" w14:textId="77777777" w:rsidR="003E4797" w:rsidRDefault="002D45DD">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78" w:type="pct"/>
        <w:tblCellMar>
          <w:left w:w="10" w:type="dxa"/>
          <w:right w:w="10" w:type="dxa"/>
        </w:tblCellMar>
        <w:tblLook w:val="04A0" w:firstRow="1" w:lastRow="0" w:firstColumn="1" w:lastColumn="0" w:noHBand="0" w:noVBand="1"/>
      </w:tblPr>
      <w:tblGrid>
        <w:gridCol w:w="3681"/>
        <w:gridCol w:w="5953"/>
      </w:tblGrid>
      <w:tr w:rsidR="003E4797" w14:paraId="08C58F02" w14:textId="77777777">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144AC0F" w14:textId="77777777" w:rsidR="003E4797" w:rsidRDefault="002D45DD">
            <w:pPr>
              <w:pStyle w:val="TableHeader"/>
              <w:jc w:val="left"/>
            </w:pPr>
            <w:r>
              <w:t>Intended outcome</w:t>
            </w:r>
          </w:p>
        </w:tc>
        <w:tc>
          <w:tcPr>
            <w:tcW w:w="59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086430" w14:textId="77777777" w:rsidR="003E4797" w:rsidRDefault="002D45DD">
            <w:pPr>
              <w:pStyle w:val="TableHeader"/>
              <w:jc w:val="left"/>
            </w:pPr>
            <w:r>
              <w:t>Success criteria</w:t>
            </w:r>
          </w:p>
        </w:tc>
      </w:tr>
      <w:tr w:rsidR="003E4797" w14:paraId="0F2A2004" w14:textId="77777777">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3486F" w14:textId="77777777" w:rsidR="003E4797" w:rsidRDefault="002D45DD">
            <w:pPr>
              <w:pStyle w:val="TableRow"/>
            </w:pPr>
            <w:r>
              <w:rPr>
                <w:iCs/>
                <w:sz w:val="22"/>
                <w:szCs w:val="22"/>
              </w:rPr>
              <w:t>Disadvantaged learners achieve good outcomes.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80DE1" w14:textId="77777777" w:rsidR="003E4797" w:rsidRDefault="002D45DD">
            <w:pPr>
              <w:pStyle w:val="TableRowCentered"/>
              <w:numPr>
                <w:ilvl w:val="0"/>
                <w:numId w:val="15"/>
              </w:numPr>
              <w:ind w:left="451" w:hanging="425"/>
              <w:jc w:val="left"/>
              <w:rPr>
                <w:sz w:val="22"/>
                <w:szCs w:val="22"/>
              </w:rPr>
            </w:pPr>
            <w:r>
              <w:rPr>
                <w:sz w:val="22"/>
                <w:szCs w:val="22"/>
              </w:rPr>
              <w:t>Progress 8 exceeds the national average for disadvantaged learners</w:t>
            </w:r>
          </w:p>
          <w:p w14:paraId="0883FF2D" w14:textId="77777777" w:rsidR="003E4797" w:rsidRDefault="002D45DD">
            <w:pPr>
              <w:pStyle w:val="TableRowCentered"/>
              <w:numPr>
                <w:ilvl w:val="0"/>
                <w:numId w:val="15"/>
              </w:numPr>
              <w:ind w:left="451" w:hanging="425"/>
              <w:jc w:val="left"/>
              <w:rPr>
                <w:sz w:val="22"/>
                <w:szCs w:val="22"/>
              </w:rPr>
            </w:pPr>
            <w:r>
              <w:rPr>
                <w:sz w:val="22"/>
                <w:szCs w:val="22"/>
              </w:rPr>
              <w:lastRenderedPageBreak/>
              <w:t>The percentage of learners achieving 4+ in English and mathematics exceeds 60%</w:t>
            </w:r>
          </w:p>
          <w:p w14:paraId="0C5918EE" w14:textId="77777777" w:rsidR="003E4797" w:rsidRDefault="002D45DD">
            <w:pPr>
              <w:pStyle w:val="TableRowCentered"/>
              <w:numPr>
                <w:ilvl w:val="0"/>
                <w:numId w:val="15"/>
              </w:numPr>
              <w:ind w:left="451" w:hanging="425"/>
              <w:jc w:val="left"/>
              <w:rPr>
                <w:sz w:val="22"/>
                <w:szCs w:val="22"/>
              </w:rPr>
            </w:pPr>
            <w:r>
              <w:rPr>
                <w:sz w:val="22"/>
                <w:szCs w:val="22"/>
              </w:rPr>
              <w:t>The percentage of learners achieving 5+ in English and mathematics exceeds 50%</w:t>
            </w:r>
          </w:p>
        </w:tc>
      </w:tr>
      <w:tr w:rsidR="003E4797" w14:paraId="3691B8D5" w14:textId="77777777">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96D" w14:textId="77777777" w:rsidR="003E4797" w:rsidRDefault="002D45DD">
            <w:pPr>
              <w:pStyle w:val="TableRow"/>
              <w:rPr>
                <w:sz w:val="22"/>
                <w:szCs w:val="22"/>
              </w:rPr>
            </w:pPr>
            <w:r>
              <w:rPr>
                <w:sz w:val="22"/>
                <w:szCs w:val="22"/>
              </w:rPr>
              <w:lastRenderedPageBreak/>
              <w:t>Disadvantaged learners attend school regularly and are not persistently absent.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DC853" w14:textId="77777777" w:rsidR="003E4797" w:rsidRDefault="002D45DD">
            <w:pPr>
              <w:pStyle w:val="TableRowCentered"/>
              <w:numPr>
                <w:ilvl w:val="0"/>
                <w:numId w:val="16"/>
              </w:numPr>
              <w:ind w:hanging="391"/>
              <w:jc w:val="left"/>
              <w:rPr>
                <w:sz w:val="22"/>
                <w:szCs w:val="22"/>
              </w:rPr>
            </w:pPr>
            <w:r>
              <w:rPr>
                <w:sz w:val="22"/>
                <w:szCs w:val="22"/>
              </w:rPr>
              <w:t>Attendance of disadvantaged learners is above 92%</w:t>
            </w:r>
          </w:p>
          <w:p w14:paraId="32795B95" w14:textId="77777777" w:rsidR="003E4797" w:rsidRDefault="002D45DD">
            <w:pPr>
              <w:pStyle w:val="TableRowCentered"/>
              <w:numPr>
                <w:ilvl w:val="0"/>
                <w:numId w:val="16"/>
              </w:numPr>
              <w:ind w:hanging="391"/>
              <w:jc w:val="left"/>
              <w:rPr>
                <w:sz w:val="22"/>
                <w:szCs w:val="22"/>
              </w:rPr>
            </w:pPr>
            <w:r>
              <w:rPr>
                <w:sz w:val="22"/>
                <w:szCs w:val="22"/>
              </w:rPr>
              <w:t>Fewer than 15% of pupil premium learners are persistently absent</w:t>
            </w:r>
          </w:p>
          <w:p w14:paraId="739CA467" w14:textId="77777777" w:rsidR="003E4797" w:rsidRDefault="002D45DD">
            <w:pPr>
              <w:pStyle w:val="TableRowCentered"/>
              <w:numPr>
                <w:ilvl w:val="0"/>
                <w:numId w:val="16"/>
              </w:numPr>
              <w:ind w:hanging="391"/>
              <w:jc w:val="left"/>
              <w:rPr>
                <w:sz w:val="22"/>
                <w:szCs w:val="22"/>
              </w:rPr>
            </w:pPr>
            <w:r>
              <w:rPr>
                <w:sz w:val="22"/>
                <w:szCs w:val="22"/>
              </w:rPr>
              <w:t>Parents engage with the school to support their child’s attendance</w:t>
            </w:r>
          </w:p>
        </w:tc>
      </w:tr>
      <w:tr w:rsidR="003E4797" w14:paraId="71129138" w14:textId="77777777">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3D558" w14:textId="77777777" w:rsidR="003E4797" w:rsidRDefault="002D45DD">
            <w:pPr>
              <w:pStyle w:val="TableRow"/>
              <w:rPr>
                <w:sz w:val="22"/>
                <w:szCs w:val="22"/>
              </w:rPr>
            </w:pPr>
            <w:r>
              <w:rPr>
                <w:sz w:val="22"/>
                <w:szCs w:val="22"/>
              </w:rPr>
              <w:t>Disadvantaged learners are able to access the curriculum through implementation of the whole school disciplinary literacy strategy and are supported to reach at least their chronological reading age.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A3A8" w14:textId="77777777" w:rsidR="003E4797" w:rsidRDefault="002D45DD">
            <w:pPr>
              <w:pStyle w:val="TableRowCentered"/>
              <w:numPr>
                <w:ilvl w:val="0"/>
                <w:numId w:val="17"/>
              </w:numPr>
              <w:jc w:val="left"/>
              <w:rPr>
                <w:sz w:val="22"/>
                <w:szCs w:val="22"/>
              </w:rPr>
            </w:pPr>
            <w:r>
              <w:rPr>
                <w:sz w:val="22"/>
                <w:szCs w:val="22"/>
              </w:rPr>
              <w:t>All pupil premium learners with a reading age below their chronological age have access to interventions</w:t>
            </w:r>
          </w:p>
          <w:p w14:paraId="48F5CDD4" w14:textId="77777777" w:rsidR="003E4797" w:rsidRDefault="002D45DD">
            <w:pPr>
              <w:pStyle w:val="TableRowCentered"/>
              <w:numPr>
                <w:ilvl w:val="0"/>
                <w:numId w:val="17"/>
              </w:numPr>
              <w:jc w:val="left"/>
              <w:rPr>
                <w:sz w:val="22"/>
                <w:szCs w:val="22"/>
              </w:rPr>
            </w:pPr>
            <w:r>
              <w:rPr>
                <w:sz w:val="22"/>
                <w:szCs w:val="22"/>
              </w:rPr>
              <w:t>Reading is successfully taught across the curriculum (as shown in reading audits) to allow all learners to access the curriculum</w:t>
            </w:r>
          </w:p>
          <w:p w14:paraId="55241120" w14:textId="77777777" w:rsidR="003E4797" w:rsidRDefault="002D45DD">
            <w:pPr>
              <w:pStyle w:val="TableRowCentered"/>
              <w:numPr>
                <w:ilvl w:val="0"/>
                <w:numId w:val="17"/>
              </w:numPr>
              <w:jc w:val="left"/>
              <w:rPr>
                <w:sz w:val="22"/>
                <w:szCs w:val="22"/>
              </w:rPr>
            </w:pPr>
            <w:r>
              <w:rPr>
                <w:sz w:val="22"/>
                <w:szCs w:val="22"/>
              </w:rPr>
              <w:t>The percentage of learners reading at chronological age will exceed 80% by the end of KS3</w:t>
            </w:r>
          </w:p>
        </w:tc>
      </w:tr>
      <w:tr w:rsidR="003E4797" w14:paraId="2291E00C" w14:textId="77777777">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D8104" w14:textId="77777777" w:rsidR="003E4797" w:rsidRDefault="002D45DD">
            <w:pPr>
              <w:pStyle w:val="TableRow"/>
              <w:rPr>
                <w:sz w:val="22"/>
                <w:szCs w:val="22"/>
              </w:rPr>
            </w:pPr>
            <w:r>
              <w:rPr>
                <w:sz w:val="22"/>
                <w:szCs w:val="22"/>
              </w:rPr>
              <w:t>Disadvantaged learners take an active part in school life and show a good attitude to learning.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B376D" w14:textId="77777777" w:rsidR="003E4797" w:rsidRDefault="002D45DD">
            <w:pPr>
              <w:pStyle w:val="TableRowCentered"/>
              <w:numPr>
                <w:ilvl w:val="0"/>
                <w:numId w:val="18"/>
              </w:numPr>
              <w:jc w:val="left"/>
              <w:rPr>
                <w:sz w:val="22"/>
                <w:szCs w:val="22"/>
              </w:rPr>
            </w:pPr>
            <w:r>
              <w:rPr>
                <w:sz w:val="22"/>
                <w:szCs w:val="22"/>
              </w:rPr>
              <w:t>Disadvantaged learners are at least proportionally represented in school leadership positions</w:t>
            </w:r>
          </w:p>
          <w:p w14:paraId="78BD1413" w14:textId="77777777" w:rsidR="003E4797" w:rsidRDefault="002D45DD">
            <w:pPr>
              <w:pStyle w:val="TableRowCentered"/>
              <w:numPr>
                <w:ilvl w:val="0"/>
                <w:numId w:val="18"/>
              </w:numPr>
              <w:jc w:val="left"/>
              <w:rPr>
                <w:sz w:val="22"/>
                <w:szCs w:val="22"/>
              </w:rPr>
            </w:pPr>
            <w:r>
              <w:rPr>
                <w:sz w:val="22"/>
                <w:szCs w:val="22"/>
              </w:rPr>
              <w:t>Attendance at KGA+ shows no gap between the engagement of disadvantaged and non-disadvantaged learners</w:t>
            </w:r>
          </w:p>
          <w:p w14:paraId="71EA633D" w14:textId="77777777" w:rsidR="003E4797" w:rsidRDefault="002D45DD">
            <w:pPr>
              <w:pStyle w:val="TableRowCentered"/>
              <w:numPr>
                <w:ilvl w:val="0"/>
                <w:numId w:val="18"/>
              </w:numPr>
              <w:jc w:val="left"/>
              <w:rPr>
                <w:sz w:val="22"/>
                <w:szCs w:val="22"/>
              </w:rPr>
            </w:pPr>
            <w:r>
              <w:rPr>
                <w:sz w:val="22"/>
                <w:szCs w:val="22"/>
              </w:rPr>
              <w:t>Attitude to learning data shows no gap between disadvantaged and non-disadvantaged learners</w:t>
            </w:r>
          </w:p>
        </w:tc>
      </w:tr>
      <w:tr w:rsidR="003E4797" w14:paraId="7B8BEDAA" w14:textId="77777777">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9AFF0" w14:textId="77777777" w:rsidR="003E4797" w:rsidRDefault="002D45DD">
            <w:pPr>
              <w:pStyle w:val="TableRow"/>
              <w:rPr>
                <w:sz w:val="22"/>
                <w:szCs w:val="22"/>
              </w:rPr>
            </w:pPr>
            <w:r>
              <w:rPr>
                <w:sz w:val="22"/>
                <w:szCs w:val="22"/>
              </w:rPr>
              <w:t>Disadvantaged learners aspire to excellence within and beyond school.</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F9EB" w14:textId="77777777" w:rsidR="003E4797" w:rsidRDefault="002D45DD">
            <w:pPr>
              <w:pStyle w:val="TableRowCentered"/>
              <w:numPr>
                <w:ilvl w:val="0"/>
                <w:numId w:val="19"/>
              </w:numPr>
              <w:ind w:left="451"/>
              <w:jc w:val="left"/>
              <w:rPr>
                <w:sz w:val="22"/>
                <w:szCs w:val="22"/>
              </w:rPr>
            </w:pPr>
            <w:r>
              <w:rPr>
                <w:sz w:val="22"/>
                <w:szCs w:val="22"/>
              </w:rPr>
              <w:t>Disadvantaged learners who display a lack of aspirations will have access to a dedicated mentor (Y7/8 Youth Adventure Trust/PP learning mentor, Y9 Business mentoring, Y10/Y11 PP Champion) and receive priority careers meetings in KS4</w:t>
            </w:r>
          </w:p>
          <w:p w14:paraId="301AB180" w14:textId="77777777" w:rsidR="003E4797" w:rsidRDefault="002D45DD">
            <w:pPr>
              <w:pStyle w:val="TableRowCentered"/>
              <w:numPr>
                <w:ilvl w:val="0"/>
                <w:numId w:val="19"/>
              </w:numPr>
              <w:ind w:left="451"/>
              <w:jc w:val="left"/>
              <w:rPr>
                <w:sz w:val="22"/>
                <w:szCs w:val="22"/>
              </w:rPr>
            </w:pPr>
            <w:r>
              <w:rPr>
                <w:sz w:val="22"/>
                <w:szCs w:val="22"/>
              </w:rPr>
              <w:t>Destination data shows no gap between disadvantaged and non-disadvantaged learners</w:t>
            </w:r>
          </w:p>
        </w:tc>
      </w:tr>
      <w:tr w:rsidR="003E4797" w14:paraId="42A082D2" w14:textId="77777777">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94CB8" w14:textId="77777777" w:rsidR="003E4797" w:rsidRDefault="002D45DD">
            <w:pPr>
              <w:pStyle w:val="TableRow"/>
              <w:rPr>
                <w:sz w:val="22"/>
                <w:szCs w:val="22"/>
              </w:rPr>
            </w:pPr>
            <w:r>
              <w:rPr>
                <w:sz w:val="22"/>
                <w:szCs w:val="22"/>
              </w:rPr>
              <w:t xml:space="preserve">Disadvantaged learners are appropriately supported to engage appropriately in lessons.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82194" w14:textId="77777777" w:rsidR="003E4797" w:rsidRDefault="002D45DD">
            <w:pPr>
              <w:pStyle w:val="TableRowCentered"/>
              <w:numPr>
                <w:ilvl w:val="0"/>
                <w:numId w:val="20"/>
              </w:numPr>
              <w:jc w:val="left"/>
              <w:rPr>
                <w:sz w:val="22"/>
                <w:szCs w:val="22"/>
              </w:rPr>
            </w:pPr>
            <w:r>
              <w:rPr>
                <w:sz w:val="22"/>
                <w:szCs w:val="22"/>
              </w:rPr>
              <w:t>Behavioural referrals and exclusions show no gap between disadvantaged and non-disadvantaged learners</w:t>
            </w:r>
          </w:p>
          <w:p w14:paraId="1C48779F" w14:textId="77777777" w:rsidR="003E4797" w:rsidRDefault="002D45DD">
            <w:pPr>
              <w:pStyle w:val="TableRowCentered"/>
              <w:numPr>
                <w:ilvl w:val="0"/>
                <w:numId w:val="20"/>
              </w:numPr>
              <w:jc w:val="left"/>
              <w:rPr>
                <w:sz w:val="22"/>
                <w:szCs w:val="22"/>
              </w:rPr>
            </w:pPr>
            <w:r>
              <w:rPr>
                <w:sz w:val="22"/>
                <w:szCs w:val="22"/>
              </w:rPr>
              <w:t>Disadvantaged learners engage with external agencies where necessary to support their behaviour and wider needs as a result of safeguarding</w:t>
            </w:r>
          </w:p>
        </w:tc>
      </w:tr>
    </w:tbl>
    <w:p w14:paraId="3656B9AB" w14:textId="77777777" w:rsidR="003E4797" w:rsidRDefault="003E4797">
      <w:pPr>
        <w:pStyle w:val="Heading2"/>
      </w:pPr>
    </w:p>
    <w:p w14:paraId="45FB0818" w14:textId="77777777" w:rsidR="003E4797" w:rsidRDefault="002D45DD">
      <w:pPr>
        <w:suppressAutoHyphens w:val="0"/>
        <w:spacing w:after="0" w:line="240" w:lineRule="auto"/>
        <w:rPr>
          <w:b/>
          <w:color w:val="104F75"/>
          <w:sz w:val="32"/>
          <w:szCs w:val="32"/>
        </w:rPr>
      </w:pPr>
      <w:r>
        <w:br w:type="page"/>
      </w:r>
    </w:p>
    <w:p w14:paraId="06E5FFC9" w14:textId="77777777" w:rsidR="003E4797" w:rsidRDefault="002D45DD">
      <w:pPr>
        <w:pStyle w:val="Heading2"/>
      </w:pPr>
      <w:r>
        <w:lastRenderedPageBreak/>
        <w:t>Activity in this academic year</w:t>
      </w:r>
    </w:p>
    <w:p w14:paraId="70F82778" w14:textId="77777777" w:rsidR="003E4797" w:rsidRDefault="002D45DD">
      <w:pPr>
        <w:spacing w:after="480"/>
      </w:pPr>
      <w:r>
        <w:t xml:space="preserve">This details how we intend to spend our pupil premium (and recovery premium funding) </w:t>
      </w:r>
      <w:r>
        <w:rPr>
          <w:b/>
          <w:bCs/>
        </w:rPr>
        <w:t>this academic year</w:t>
      </w:r>
      <w:r>
        <w:t xml:space="preserve"> to address the challenges listed above.</w:t>
      </w:r>
    </w:p>
    <w:p w14:paraId="36300418" w14:textId="77777777" w:rsidR="003E4797" w:rsidRDefault="002D45DD">
      <w:pPr>
        <w:pStyle w:val="Heading3"/>
      </w:pPr>
      <w:r>
        <w:t>Teaching</w:t>
      </w:r>
    </w:p>
    <w:p w14:paraId="05D91988" w14:textId="77777777" w:rsidR="003E4797" w:rsidRDefault="002D45DD">
      <w:r>
        <w:t>Budgeted cost: £83049</w:t>
      </w:r>
    </w:p>
    <w:tbl>
      <w:tblPr>
        <w:tblW w:w="5228" w:type="pct"/>
        <w:tblCellMar>
          <w:left w:w="10" w:type="dxa"/>
          <w:right w:w="10" w:type="dxa"/>
        </w:tblCellMar>
        <w:tblLook w:val="04A0" w:firstRow="1" w:lastRow="0" w:firstColumn="1" w:lastColumn="0" w:noHBand="0" w:noVBand="1"/>
      </w:tblPr>
      <w:tblGrid>
        <w:gridCol w:w="4107"/>
        <w:gridCol w:w="4252"/>
        <w:gridCol w:w="1560"/>
      </w:tblGrid>
      <w:tr w:rsidR="003E4797" w14:paraId="32ED91C9" w14:textId="77777777">
        <w:tc>
          <w:tcPr>
            <w:tcW w:w="41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8283460" w14:textId="77777777" w:rsidR="003E4797" w:rsidRDefault="002D45DD">
            <w:pPr>
              <w:pStyle w:val="TableHeader"/>
              <w:jc w:val="left"/>
            </w:pPr>
            <w:r>
              <w:t>Activity</w:t>
            </w:r>
          </w:p>
        </w:tc>
        <w:tc>
          <w:tcPr>
            <w:tcW w:w="42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392A3BF" w14:textId="77777777" w:rsidR="003E4797" w:rsidRDefault="002D45DD">
            <w:pPr>
              <w:pStyle w:val="TableHeader"/>
              <w:jc w:val="left"/>
            </w:pPr>
            <w:r>
              <w:t>Evidence that supports this approach</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9973AE3" w14:textId="77777777" w:rsidR="003E4797" w:rsidRDefault="002D45DD">
            <w:pPr>
              <w:pStyle w:val="TableHeader"/>
              <w:jc w:val="left"/>
            </w:pPr>
            <w:r>
              <w:t>Challenge number(s) addressed</w:t>
            </w:r>
          </w:p>
        </w:tc>
      </w:tr>
      <w:tr w:rsidR="003E4797" w14:paraId="3C95E0D7" w14:textId="77777777">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9436" w14:textId="77777777" w:rsidR="003E4797" w:rsidRDefault="002D45DD">
            <w:pPr>
              <w:pStyle w:val="TableRow"/>
              <w:rPr>
                <w:rFonts w:cs="Arial"/>
                <w:sz w:val="22"/>
                <w:szCs w:val="22"/>
              </w:rPr>
            </w:pPr>
            <w:r>
              <w:rPr>
                <w:rFonts w:cs="Arial"/>
                <w:sz w:val="22"/>
                <w:szCs w:val="22"/>
              </w:rPr>
              <w:t>Member of SLT assigned to planning, implementing and evaluation disadvantaged strategy and training staff. Responsible for networking and sharing best practice between Trust, LA and more widely. Ensuring our teaching and learning strategy embeds the learning from the EEF Great Teaching Review to ensure Quality First Teaching. (15% of salary)</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7D06B" w14:textId="77777777" w:rsidR="003E4797" w:rsidRDefault="00E65C07">
            <w:pPr>
              <w:pStyle w:val="TableRowCentered"/>
              <w:jc w:val="left"/>
              <w:rPr>
                <w:rFonts w:cs="Arial"/>
                <w:sz w:val="22"/>
                <w:szCs w:val="22"/>
              </w:rPr>
            </w:pPr>
            <w:hyperlink r:id="rId10" w:history="1">
              <w:r w:rsidR="002D45DD">
                <w:rPr>
                  <w:rStyle w:val="Hyperlink"/>
                  <w:rFonts w:cs="Arial"/>
                  <w:sz w:val="22"/>
                  <w:szCs w:val="22"/>
                </w:rPr>
                <w:t>OFSTED 2013: The Pupil Premium; how schools are spending the funding.</w:t>
              </w:r>
            </w:hyperlink>
          </w:p>
          <w:p w14:paraId="2299F060" w14:textId="77777777" w:rsidR="003E4797" w:rsidRDefault="002D45DD">
            <w:pPr>
              <w:pStyle w:val="TableRowCentered"/>
              <w:jc w:val="left"/>
              <w:rPr>
                <w:rFonts w:cs="Arial"/>
                <w:i/>
                <w:sz w:val="22"/>
                <w:szCs w:val="22"/>
              </w:rPr>
            </w:pPr>
            <w:r>
              <w:rPr>
                <w:rFonts w:cs="Arial"/>
                <w:i/>
                <w:sz w:val="22"/>
                <w:szCs w:val="22"/>
              </w:rPr>
              <w:t>Routinely giving disadvantaged learners more attention and focus with strong leadership raises achievement.</w:t>
            </w:r>
          </w:p>
          <w:p w14:paraId="77D3FF44" w14:textId="77777777" w:rsidR="003E4797" w:rsidRDefault="00E65C07">
            <w:pPr>
              <w:pStyle w:val="TableRowCentered"/>
              <w:jc w:val="left"/>
              <w:rPr>
                <w:rFonts w:cs="Arial"/>
                <w:color w:val="0000FF"/>
                <w:sz w:val="22"/>
                <w:szCs w:val="22"/>
                <w:u w:val="single"/>
              </w:rPr>
            </w:pPr>
            <w:hyperlink r:id="rId11" w:history="1">
              <w:r w:rsidR="002D45DD">
                <w:rPr>
                  <w:rStyle w:val="Hyperlink"/>
                  <w:rFonts w:cs="Arial"/>
                  <w:sz w:val="22"/>
                  <w:szCs w:val="22"/>
                </w:rPr>
                <w:t>EEF Evidence Review Great Teaching Toolkit June 2020</w:t>
              </w:r>
            </w:hyperlink>
          </w:p>
          <w:p w14:paraId="165EEF20" w14:textId="77777777" w:rsidR="003E4797" w:rsidRDefault="002D45DD">
            <w:pPr>
              <w:pStyle w:val="TableRowCentered"/>
              <w:jc w:val="left"/>
              <w:rPr>
                <w:rFonts w:cs="Arial"/>
                <w:i/>
                <w:sz w:val="22"/>
                <w:szCs w:val="22"/>
              </w:rPr>
            </w:pPr>
            <w:r>
              <w:rPr>
                <w:rFonts w:cs="Arial"/>
                <w:i/>
                <w:sz w:val="22"/>
                <w:szCs w:val="22"/>
              </w:rPr>
              <w:t>Great teachers:</w:t>
            </w:r>
          </w:p>
          <w:p w14:paraId="63469C86" w14:textId="77777777" w:rsidR="003E4797" w:rsidRDefault="002D45DD">
            <w:pPr>
              <w:pStyle w:val="TableRowCentered"/>
              <w:numPr>
                <w:ilvl w:val="0"/>
                <w:numId w:val="26"/>
              </w:numPr>
              <w:jc w:val="left"/>
              <w:rPr>
                <w:rFonts w:cs="Arial"/>
                <w:i/>
                <w:sz w:val="22"/>
                <w:szCs w:val="22"/>
              </w:rPr>
            </w:pPr>
            <w:r>
              <w:rPr>
                <w:rFonts w:cs="Arial"/>
                <w:i/>
                <w:sz w:val="22"/>
                <w:szCs w:val="22"/>
              </w:rPr>
              <w:t xml:space="preserve">Understand the content they are teaching and how it is learnt </w:t>
            </w:r>
          </w:p>
          <w:p w14:paraId="7A563F7F" w14:textId="77777777" w:rsidR="003E4797" w:rsidRDefault="002D45DD">
            <w:pPr>
              <w:pStyle w:val="TableRowCentered"/>
              <w:numPr>
                <w:ilvl w:val="0"/>
                <w:numId w:val="26"/>
              </w:numPr>
              <w:jc w:val="left"/>
              <w:rPr>
                <w:rFonts w:cs="Arial"/>
                <w:i/>
                <w:sz w:val="22"/>
                <w:szCs w:val="22"/>
              </w:rPr>
            </w:pPr>
            <w:r>
              <w:rPr>
                <w:rFonts w:cs="Arial"/>
                <w:i/>
                <w:sz w:val="22"/>
                <w:szCs w:val="22"/>
              </w:rPr>
              <w:t xml:space="preserve">Create a supportive environment for learning </w:t>
            </w:r>
          </w:p>
          <w:p w14:paraId="69A4E6F8" w14:textId="77777777" w:rsidR="003E4797" w:rsidRDefault="002D45DD">
            <w:pPr>
              <w:pStyle w:val="TableRowCentered"/>
              <w:numPr>
                <w:ilvl w:val="0"/>
                <w:numId w:val="26"/>
              </w:numPr>
              <w:jc w:val="left"/>
              <w:rPr>
                <w:rFonts w:cs="Arial"/>
                <w:i/>
                <w:sz w:val="22"/>
                <w:szCs w:val="22"/>
              </w:rPr>
            </w:pPr>
            <w:r>
              <w:rPr>
                <w:rFonts w:cs="Arial"/>
                <w:i/>
                <w:sz w:val="22"/>
                <w:szCs w:val="22"/>
              </w:rPr>
              <w:t>Manage the classroom to maximise opportunity to learn</w:t>
            </w:r>
          </w:p>
          <w:p w14:paraId="2C517C8A" w14:textId="77777777" w:rsidR="003E4797" w:rsidRDefault="002D45DD">
            <w:pPr>
              <w:pStyle w:val="TableRowCentered"/>
              <w:numPr>
                <w:ilvl w:val="0"/>
                <w:numId w:val="26"/>
              </w:numPr>
              <w:jc w:val="left"/>
              <w:rPr>
                <w:rFonts w:cs="Arial"/>
                <w:i/>
                <w:sz w:val="22"/>
                <w:szCs w:val="22"/>
              </w:rPr>
            </w:pPr>
            <w:r>
              <w:rPr>
                <w:rFonts w:cs="Arial"/>
                <w:i/>
                <w:sz w:val="22"/>
                <w:szCs w:val="22"/>
              </w:rPr>
              <w:t>Present content, activities and interactions that activate their students’ thinking</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F668" w14:textId="77777777" w:rsidR="003E4797" w:rsidRDefault="002D45DD">
            <w:pPr>
              <w:pStyle w:val="TableRowCentered"/>
              <w:jc w:val="left"/>
              <w:rPr>
                <w:rFonts w:cs="Arial"/>
                <w:sz w:val="22"/>
                <w:szCs w:val="22"/>
              </w:rPr>
            </w:pPr>
            <w:r>
              <w:rPr>
                <w:rFonts w:cs="Arial"/>
                <w:sz w:val="22"/>
                <w:szCs w:val="22"/>
              </w:rPr>
              <w:t>All</w:t>
            </w:r>
          </w:p>
        </w:tc>
      </w:tr>
      <w:tr w:rsidR="003E4797" w14:paraId="69359325" w14:textId="77777777">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0E561" w14:textId="77777777" w:rsidR="003E4797" w:rsidRDefault="002D45DD">
            <w:pPr>
              <w:pStyle w:val="TableRow"/>
              <w:ind w:left="0"/>
              <w:rPr>
                <w:rFonts w:cs="Arial"/>
                <w:sz w:val="22"/>
                <w:szCs w:val="22"/>
              </w:rPr>
            </w:pPr>
            <w:r>
              <w:rPr>
                <w:rFonts w:cs="Arial"/>
                <w:sz w:val="22"/>
                <w:szCs w:val="22"/>
              </w:rPr>
              <w:t>Literacy co-ordinator focussing on developing disciplinary literacy, whole class reading and wider reading (see literacy plan).  (30% of salary)</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68050" w14:textId="77777777" w:rsidR="003E4797" w:rsidRDefault="00E65C07">
            <w:pPr>
              <w:pStyle w:val="NoSpacing"/>
            </w:pPr>
            <w:hyperlink r:id="rId12" w:history="1">
              <w:r w:rsidR="002D45DD">
                <w:rPr>
                  <w:rStyle w:val="Hyperlink"/>
                </w:rPr>
                <w:t>Improving Literacy in Secondary Schools | EEF (educationendowmentfoundation.org.uk)</w:t>
              </w:r>
            </w:hyperlink>
            <w:r w:rsidR="002D45DD">
              <w:t xml:space="preserve"> </w:t>
            </w:r>
          </w:p>
          <w:p w14:paraId="049F31CB" w14:textId="77777777" w:rsidR="003E4797" w:rsidRDefault="003E4797">
            <w:pPr>
              <w:pStyle w:val="NoSpacing"/>
            </w:pPr>
          </w:p>
          <w:p w14:paraId="1300AA4A" w14:textId="77777777" w:rsidR="003E4797" w:rsidRDefault="002D45DD">
            <w:pPr>
              <w:pStyle w:val="NoSpacing"/>
              <w:rPr>
                <w:rFonts w:ascii="Arial" w:hAnsi="Arial" w:cs="Arial"/>
              </w:rPr>
            </w:pPr>
            <w:r>
              <w:rPr>
                <w:rFonts w:ascii="Arial" w:hAnsi="Arial" w:cs="Arial"/>
              </w:rPr>
              <w:t xml:space="preserve"> </w:t>
            </w:r>
            <w:hyperlink r:id="rId13" w:history="1">
              <w:r>
                <w:rPr>
                  <w:rStyle w:val="Hyperlink"/>
                  <w:rFonts w:cs="Arial"/>
                  <w:sz w:val="22"/>
                </w:rPr>
                <w:t>Westbrook, J, Sutherland, J, Oakhill, J and Sullivan, S. 2019.</w:t>
              </w:r>
            </w:hyperlink>
            <w:r>
              <w:rPr>
                <w:rFonts w:ascii="Arial" w:hAnsi="Arial" w:cs="Arial"/>
              </w:rPr>
              <w:t xml:space="preserve"> </w:t>
            </w:r>
          </w:p>
          <w:p w14:paraId="6AFE0B9C" w14:textId="77777777" w:rsidR="003E4797" w:rsidRDefault="002D45DD">
            <w:pPr>
              <w:pStyle w:val="NoSpacing"/>
              <w:rPr>
                <w:rFonts w:ascii="Arial" w:hAnsi="Arial" w:cs="Arial"/>
              </w:rPr>
            </w:pPr>
            <w:r>
              <w:rPr>
                <w:rFonts w:ascii="Arial" w:hAnsi="Arial" w:cs="Arial"/>
                <w:i/>
              </w:rPr>
              <w:t>'Just reading': increasing pace and volume of reading whole narratives on the comprehension of poorer adolescent readers in English classrooms.</w:t>
            </w:r>
            <w:r>
              <w:rPr>
                <w:rFonts w:ascii="Arial" w:hAnsi="Arial" w:cs="Arial"/>
              </w:rPr>
              <w:t xml:space="preserve"> Literacy, 53 (2). pp. 60-68</w:t>
            </w:r>
          </w:p>
          <w:p w14:paraId="53128261" w14:textId="77777777" w:rsidR="003E4797" w:rsidRDefault="003E4797">
            <w:pPr>
              <w:pStyle w:val="NoSpacing"/>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751B" w14:textId="77777777" w:rsidR="003E4797" w:rsidRDefault="002D45DD">
            <w:pPr>
              <w:pStyle w:val="TableRowCentered"/>
              <w:jc w:val="left"/>
              <w:rPr>
                <w:rFonts w:cs="Arial"/>
                <w:sz w:val="22"/>
                <w:szCs w:val="22"/>
              </w:rPr>
            </w:pPr>
            <w:r>
              <w:rPr>
                <w:rFonts w:cs="Arial"/>
                <w:sz w:val="22"/>
                <w:szCs w:val="22"/>
              </w:rPr>
              <w:t>2</w:t>
            </w:r>
          </w:p>
        </w:tc>
      </w:tr>
      <w:tr w:rsidR="003E4797" w14:paraId="2D0C4333" w14:textId="77777777">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CD411" w14:textId="77777777" w:rsidR="003E4797" w:rsidRDefault="002D45DD">
            <w:pPr>
              <w:pStyle w:val="TableRow"/>
              <w:ind w:left="0"/>
              <w:rPr>
                <w:rFonts w:cs="Arial"/>
                <w:sz w:val="22"/>
                <w:szCs w:val="22"/>
              </w:rPr>
            </w:pPr>
            <w:r>
              <w:rPr>
                <w:rFonts w:cs="Arial"/>
                <w:sz w:val="22"/>
                <w:szCs w:val="22"/>
              </w:rPr>
              <w:t>Additional maths teacher to provide targeted teaching. (30% of salary)</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54083" w14:textId="77777777" w:rsidR="003E4797" w:rsidRDefault="00E65C07">
            <w:pPr>
              <w:pStyle w:val="NoSpacing"/>
              <w:rPr>
                <w:rFonts w:ascii="Arial" w:hAnsi="Arial" w:cs="Arial"/>
              </w:rPr>
            </w:pPr>
            <w:hyperlink r:id="rId14" w:history="1">
              <w:r w:rsidR="002D45DD">
                <w:rPr>
                  <w:rStyle w:val="Hyperlink"/>
                  <w:rFonts w:cs="Arial"/>
                  <w:sz w:val="22"/>
                </w:rPr>
                <w:t>EEF toolkit</w:t>
              </w:r>
            </w:hyperlink>
            <w:r w:rsidR="002D45DD">
              <w:rPr>
                <w:rFonts w:ascii="Arial" w:hAnsi="Arial" w:cs="Arial"/>
              </w:rPr>
              <w:t xml:space="preserve"> </w:t>
            </w:r>
          </w:p>
          <w:p w14:paraId="181E76A0" w14:textId="77777777" w:rsidR="003E4797" w:rsidRDefault="002D45DD">
            <w:pPr>
              <w:pStyle w:val="NoSpacing"/>
              <w:rPr>
                <w:rFonts w:ascii="Arial" w:hAnsi="Arial" w:cs="Arial"/>
              </w:rPr>
            </w:pPr>
            <w:r>
              <w:rPr>
                <w:rFonts w:ascii="Arial" w:hAnsi="Arial" w:cs="Arial"/>
                <w:i/>
              </w:rPr>
              <w:t xml:space="preserve">Small group tuition, impact +4 months </w:t>
            </w:r>
          </w:p>
          <w:p w14:paraId="62486C05" w14:textId="77777777" w:rsidR="003E4797" w:rsidRDefault="003E4797">
            <w:pPr>
              <w:pStyle w:val="NoSpacing"/>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884CA" w14:textId="77777777" w:rsidR="003E4797" w:rsidRDefault="002D45DD">
            <w:pPr>
              <w:pStyle w:val="TableRowCentered"/>
              <w:jc w:val="left"/>
              <w:rPr>
                <w:rFonts w:cs="Arial"/>
                <w:sz w:val="22"/>
                <w:szCs w:val="22"/>
              </w:rPr>
            </w:pPr>
            <w:r>
              <w:rPr>
                <w:rFonts w:cs="Arial"/>
                <w:sz w:val="22"/>
                <w:szCs w:val="22"/>
              </w:rPr>
              <w:t>2</w:t>
            </w:r>
          </w:p>
        </w:tc>
      </w:tr>
      <w:tr w:rsidR="003E4797" w14:paraId="071D5462" w14:textId="77777777">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1676" w14:textId="77777777" w:rsidR="003E4797" w:rsidRDefault="002D45DD">
            <w:pPr>
              <w:pStyle w:val="TableRow"/>
              <w:ind w:left="0"/>
              <w:rPr>
                <w:rFonts w:cs="Arial"/>
                <w:sz w:val="22"/>
                <w:szCs w:val="22"/>
              </w:rPr>
            </w:pPr>
            <w:r>
              <w:rPr>
                <w:rFonts w:cs="Arial"/>
                <w:sz w:val="22"/>
                <w:szCs w:val="22"/>
              </w:rPr>
              <w:t>HLTAs to work in English and science to facilitate interventions. (30% of salary)</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2B92" w14:textId="77777777" w:rsidR="003E4797" w:rsidRDefault="00E65C07">
            <w:pPr>
              <w:pStyle w:val="NoSpacing"/>
              <w:rPr>
                <w:rFonts w:ascii="Arial" w:hAnsi="Arial" w:cs="Arial"/>
              </w:rPr>
            </w:pPr>
            <w:hyperlink r:id="rId15" w:history="1">
              <w:r w:rsidR="002D45DD">
                <w:rPr>
                  <w:rStyle w:val="Hyperlink"/>
                  <w:rFonts w:cs="Arial"/>
                  <w:sz w:val="22"/>
                </w:rPr>
                <w:t>EEF toolkit</w:t>
              </w:r>
            </w:hyperlink>
            <w:r w:rsidR="002D45DD">
              <w:rPr>
                <w:rFonts w:ascii="Arial" w:hAnsi="Arial" w:cs="Arial"/>
              </w:rPr>
              <w:t xml:space="preserve"> </w:t>
            </w:r>
          </w:p>
          <w:p w14:paraId="21423E2E" w14:textId="77777777" w:rsidR="003E4797" w:rsidRDefault="002D45DD">
            <w:pPr>
              <w:pStyle w:val="NoSpacing"/>
              <w:rPr>
                <w:rFonts w:ascii="Arial" w:hAnsi="Arial" w:cs="Arial"/>
                <w:i/>
              </w:rPr>
            </w:pPr>
            <w:r>
              <w:rPr>
                <w:rFonts w:ascii="Arial" w:hAnsi="Arial" w:cs="Arial"/>
                <w:i/>
              </w:rPr>
              <w:t xml:space="preserve">Teaching assistant interventions, impact +4 months </w:t>
            </w:r>
          </w:p>
          <w:p w14:paraId="4101652C" w14:textId="77777777" w:rsidR="003E4797" w:rsidRDefault="003E4797">
            <w:pPr>
              <w:pStyle w:val="NoSpacing"/>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2F596" w14:textId="77777777" w:rsidR="003E4797" w:rsidRDefault="002D45DD">
            <w:pPr>
              <w:pStyle w:val="TableRowCentered"/>
              <w:jc w:val="left"/>
              <w:rPr>
                <w:rFonts w:cs="Arial"/>
                <w:sz w:val="22"/>
                <w:szCs w:val="22"/>
              </w:rPr>
            </w:pPr>
            <w:r>
              <w:rPr>
                <w:rFonts w:cs="Arial"/>
                <w:sz w:val="22"/>
                <w:szCs w:val="22"/>
              </w:rPr>
              <w:t>2</w:t>
            </w:r>
          </w:p>
        </w:tc>
      </w:tr>
      <w:tr w:rsidR="003E4797" w14:paraId="71C34D02" w14:textId="77777777">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7E4D2" w14:textId="77777777" w:rsidR="003E4797" w:rsidRDefault="002D45DD">
            <w:pPr>
              <w:pStyle w:val="TableRow"/>
              <w:ind w:left="0"/>
              <w:rPr>
                <w:rFonts w:cs="Arial"/>
                <w:sz w:val="22"/>
                <w:szCs w:val="22"/>
              </w:rPr>
            </w:pPr>
            <w:r>
              <w:rPr>
                <w:rFonts w:cs="Arial"/>
                <w:sz w:val="22"/>
                <w:szCs w:val="22"/>
              </w:rPr>
              <w:t xml:space="preserve">Supply of teaching resources for disadvantaged learners (e.g. art </w:t>
            </w:r>
            <w:r>
              <w:rPr>
                <w:rFonts w:cs="Arial"/>
                <w:sz w:val="22"/>
                <w:szCs w:val="22"/>
              </w:rPr>
              <w:lastRenderedPageBreak/>
              <w:t>resources, ingredients, revision guides) (£4000)</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DB9A8" w14:textId="77777777" w:rsidR="003E4797" w:rsidRDefault="002D45DD">
            <w:pPr>
              <w:pStyle w:val="NoSpacing"/>
              <w:rPr>
                <w:rFonts w:ascii="Arial" w:hAnsi="Arial" w:cs="Arial"/>
              </w:rPr>
            </w:pPr>
            <w:r>
              <w:rPr>
                <w:rStyle w:val="Hyperlink"/>
                <w:rFonts w:cs="Arial"/>
                <w:sz w:val="22"/>
              </w:rPr>
              <w:lastRenderedPageBreak/>
              <w:t>Rowland, J, 2021. ‘Addressing Educational Disadvantage: The Essex Way’</w:t>
            </w:r>
            <w:r>
              <w:rPr>
                <w:rFonts w:ascii="Arial" w:hAnsi="Arial" w:cs="Arial"/>
              </w:rPr>
              <w:t xml:space="preserve"> </w:t>
            </w:r>
            <w:r>
              <w:rPr>
                <w:rFonts w:ascii="Arial" w:hAnsi="Arial" w:cs="Arial"/>
                <w:i/>
              </w:rPr>
              <w:t xml:space="preserve">Seek to provide equity through the pupil </w:t>
            </w:r>
            <w:r>
              <w:rPr>
                <w:rFonts w:ascii="Arial" w:hAnsi="Arial" w:cs="Arial"/>
                <w:i/>
              </w:rPr>
              <w:lastRenderedPageBreak/>
              <w:t>premium funding to allow access to opportunities.</w:t>
            </w:r>
            <w:r>
              <w:rPr>
                <w:rFonts w:ascii="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B8484" w14:textId="77777777" w:rsidR="003E4797" w:rsidRDefault="002D45DD">
            <w:pPr>
              <w:pStyle w:val="TableRowCentered"/>
              <w:jc w:val="left"/>
              <w:rPr>
                <w:rFonts w:cs="Arial"/>
                <w:sz w:val="22"/>
                <w:szCs w:val="22"/>
              </w:rPr>
            </w:pPr>
            <w:r>
              <w:rPr>
                <w:rFonts w:cs="Arial"/>
                <w:sz w:val="22"/>
                <w:szCs w:val="22"/>
              </w:rPr>
              <w:lastRenderedPageBreak/>
              <w:t>7</w:t>
            </w:r>
          </w:p>
        </w:tc>
      </w:tr>
      <w:tr w:rsidR="003E4797" w14:paraId="352E766C" w14:textId="77777777">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8B94F" w14:textId="77777777" w:rsidR="003E4797" w:rsidRDefault="002D45DD">
            <w:pPr>
              <w:pStyle w:val="TableRow"/>
              <w:ind w:left="0"/>
              <w:rPr>
                <w:rFonts w:cs="Arial"/>
                <w:sz w:val="22"/>
                <w:szCs w:val="22"/>
              </w:rPr>
            </w:pPr>
            <w:r>
              <w:rPr>
                <w:rFonts w:cs="Arial"/>
                <w:sz w:val="22"/>
                <w:szCs w:val="22"/>
              </w:rPr>
              <w:t xml:space="preserve">Access to educational visits and curriculum activities (£4000)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5B1BB" w14:textId="77777777" w:rsidR="003E4797" w:rsidRDefault="002D45DD">
            <w:pPr>
              <w:pStyle w:val="NoSpacing"/>
              <w:rPr>
                <w:rFonts w:ascii="Arial" w:hAnsi="Arial" w:cs="Arial"/>
              </w:rPr>
            </w:pPr>
            <w:r>
              <w:rPr>
                <w:rFonts w:ascii="Arial" w:hAnsi="Arial" w:cs="Arial"/>
                <w:color w:val="0000FF"/>
                <w:u w:val="single"/>
              </w:rPr>
              <w:t>Rowland, J, 2021. ‘Addressing Educational Disadvantage: The Essex Way’</w:t>
            </w:r>
            <w:r>
              <w:rPr>
                <w:rFonts w:ascii="Arial" w:hAnsi="Arial" w:cs="Arial"/>
                <w:color w:val="0000FF"/>
              </w:rPr>
              <w:t xml:space="preserve"> </w:t>
            </w:r>
            <w:r>
              <w:rPr>
                <w:rFonts w:ascii="Arial" w:hAnsi="Arial" w:cs="Arial"/>
                <w:i/>
              </w:rPr>
              <w:t>Seek to provide equity through the pupil premium funding to allow access to opportunities.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4D8FD" w14:textId="77777777" w:rsidR="003E4797" w:rsidRDefault="002D45DD">
            <w:pPr>
              <w:pStyle w:val="TableRowCentered"/>
              <w:jc w:val="left"/>
              <w:rPr>
                <w:rFonts w:cs="Arial"/>
                <w:sz w:val="22"/>
                <w:szCs w:val="22"/>
              </w:rPr>
            </w:pPr>
            <w:r>
              <w:rPr>
                <w:rFonts w:cs="Arial"/>
                <w:sz w:val="22"/>
                <w:szCs w:val="22"/>
              </w:rPr>
              <w:t>7</w:t>
            </w:r>
          </w:p>
        </w:tc>
      </w:tr>
      <w:tr w:rsidR="003E4797" w14:paraId="37D9A569" w14:textId="77777777">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63255" w14:textId="77777777" w:rsidR="003E4797" w:rsidRDefault="002D45DD">
            <w:pPr>
              <w:pStyle w:val="TableRow"/>
              <w:ind w:left="0"/>
              <w:rPr>
                <w:rFonts w:cs="Arial"/>
                <w:sz w:val="22"/>
                <w:szCs w:val="22"/>
              </w:rPr>
            </w:pPr>
            <w:r>
              <w:rPr>
                <w:rFonts w:cs="Arial"/>
                <w:sz w:val="22"/>
                <w:szCs w:val="22"/>
              </w:rPr>
              <w:t xml:space="preserve">Extending the school day for Year 11 learners via period 6 (£1000 </w:t>
            </w:r>
            <w:r>
              <w:rPr>
                <w:rFonts w:cs="Arial"/>
                <w:i/>
                <w:sz w:val="22"/>
                <w:szCs w:val="22"/>
              </w:rPr>
              <w:t>– additional teaching hours as part of directed time and transport provision</w:t>
            </w:r>
            <w:r>
              <w:rPr>
                <w:rFonts w:cs="Arial"/>
                <w:sz w:val="22"/>
                <w:szCs w:val="22"/>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08AD" w14:textId="77777777" w:rsidR="003E4797" w:rsidRDefault="00E65C07">
            <w:pPr>
              <w:pStyle w:val="NoSpacing"/>
              <w:rPr>
                <w:rFonts w:ascii="Arial" w:hAnsi="Arial" w:cs="Arial"/>
              </w:rPr>
            </w:pPr>
            <w:hyperlink r:id="rId16" w:history="1">
              <w:r w:rsidR="002D45DD">
                <w:rPr>
                  <w:rStyle w:val="Hyperlink"/>
                  <w:rFonts w:cs="Arial"/>
                  <w:sz w:val="22"/>
                </w:rPr>
                <w:t>EEF toolkit</w:t>
              </w:r>
            </w:hyperlink>
            <w:r w:rsidR="002D45DD">
              <w:rPr>
                <w:rFonts w:ascii="Arial" w:hAnsi="Arial" w:cs="Arial"/>
              </w:rPr>
              <w:t xml:space="preserve"> </w:t>
            </w:r>
          </w:p>
          <w:p w14:paraId="50157043" w14:textId="77777777" w:rsidR="003E4797" w:rsidRDefault="002D45DD">
            <w:pPr>
              <w:pStyle w:val="NoSpacing"/>
              <w:rPr>
                <w:rFonts w:ascii="Arial" w:hAnsi="Arial" w:cs="Arial"/>
                <w:i/>
              </w:rPr>
            </w:pPr>
            <w:r>
              <w:rPr>
                <w:rFonts w:ascii="Arial" w:hAnsi="Arial" w:cs="Arial"/>
                <w:i/>
              </w:rPr>
              <w:t>Extending the school day, impact +3 months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636B2" w14:textId="77777777" w:rsidR="003E4797" w:rsidRDefault="002D45DD">
            <w:pPr>
              <w:pStyle w:val="TableRowCentered"/>
              <w:jc w:val="left"/>
              <w:rPr>
                <w:rFonts w:cs="Arial"/>
                <w:sz w:val="22"/>
                <w:szCs w:val="22"/>
              </w:rPr>
            </w:pPr>
            <w:r>
              <w:rPr>
                <w:rFonts w:cs="Arial"/>
                <w:sz w:val="22"/>
                <w:szCs w:val="22"/>
              </w:rPr>
              <w:t>2, 3</w:t>
            </w:r>
          </w:p>
        </w:tc>
      </w:tr>
    </w:tbl>
    <w:p w14:paraId="4B99056E" w14:textId="77777777" w:rsidR="003E4797" w:rsidRDefault="003E4797">
      <w:pPr>
        <w:keepNext/>
        <w:spacing w:after="60"/>
        <w:outlineLvl w:val="1"/>
      </w:pPr>
    </w:p>
    <w:p w14:paraId="0F0C4D03" w14:textId="351B432F" w:rsidR="003E4797" w:rsidRDefault="002D45DD">
      <w:pPr>
        <w:rPr>
          <w:b/>
          <w:bCs/>
          <w:color w:val="104F75"/>
          <w:sz w:val="28"/>
          <w:szCs w:val="28"/>
        </w:rPr>
      </w:pPr>
      <w:r>
        <w:rPr>
          <w:b/>
          <w:bCs/>
          <w:color w:val="104F75"/>
          <w:sz w:val="28"/>
          <w:szCs w:val="28"/>
        </w:rPr>
        <w:t xml:space="preserve">Targeted academic support (tutoring, one-to-one support structured interventions) </w:t>
      </w:r>
    </w:p>
    <w:p w14:paraId="7B0BC523" w14:textId="77777777" w:rsidR="003E4797" w:rsidRDefault="002D45DD">
      <w:r>
        <w:t>Budgeted cost: £32733</w:t>
      </w:r>
    </w:p>
    <w:tbl>
      <w:tblPr>
        <w:tblW w:w="5228" w:type="pct"/>
        <w:tblCellMar>
          <w:left w:w="10" w:type="dxa"/>
          <w:right w:w="10" w:type="dxa"/>
        </w:tblCellMar>
        <w:tblLook w:val="04A0" w:firstRow="1" w:lastRow="0" w:firstColumn="1" w:lastColumn="0" w:noHBand="0" w:noVBand="1"/>
      </w:tblPr>
      <w:tblGrid>
        <w:gridCol w:w="3823"/>
        <w:gridCol w:w="4536"/>
        <w:gridCol w:w="1560"/>
      </w:tblGrid>
      <w:tr w:rsidR="003E4797" w14:paraId="576D8A72" w14:textId="77777777">
        <w:tc>
          <w:tcPr>
            <w:tcW w:w="382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9AEE40" w14:textId="77777777" w:rsidR="003E4797" w:rsidRDefault="002D45DD">
            <w:pPr>
              <w:pStyle w:val="TableHeader"/>
              <w:jc w:val="left"/>
            </w:pPr>
            <w: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C380EA" w14:textId="77777777" w:rsidR="003E4797" w:rsidRDefault="002D45DD">
            <w:pPr>
              <w:pStyle w:val="TableHeader"/>
              <w:jc w:val="left"/>
            </w:pPr>
            <w:r>
              <w:t>Evidence that supports this approach</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A925563" w14:textId="77777777" w:rsidR="003E4797" w:rsidRDefault="002D45DD">
            <w:pPr>
              <w:pStyle w:val="TableHeader"/>
              <w:jc w:val="left"/>
            </w:pPr>
            <w:r>
              <w:t>Challenge number(s) addressed</w:t>
            </w:r>
          </w:p>
        </w:tc>
      </w:tr>
      <w:tr w:rsidR="003E4797" w14:paraId="1249BCE6" w14:textId="77777777">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C07B" w14:textId="77777777" w:rsidR="003E4797" w:rsidRDefault="002D45DD">
            <w:pPr>
              <w:pStyle w:val="TableRow"/>
              <w:ind w:left="0"/>
              <w:rPr>
                <w:sz w:val="22"/>
              </w:rPr>
            </w:pPr>
            <w:r>
              <w:rPr>
                <w:sz w:val="22"/>
              </w:rPr>
              <w:t xml:space="preserve">Reading intervention programmes (Lexia, </w:t>
            </w:r>
            <w:proofErr w:type="spellStart"/>
            <w:r>
              <w:rPr>
                <w:sz w:val="22"/>
              </w:rPr>
              <w:t>Nessy</w:t>
            </w:r>
            <w:proofErr w:type="spellEnd"/>
            <w:r>
              <w:rPr>
                <w:sz w:val="22"/>
              </w:rPr>
              <w:t>, SRA wider reading initiatives on transition)</w:t>
            </w:r>
          </w:p>
          <w:p w14:paraId="62E35835" w14:textId="77777777" w:rsidR="003E4797" w:rsidRDefault="002D45DD">
            <w:pPr>
              <w:pStyle w:val="TableRow"/>
              <w:ind w:left="0"/>
              <w:rPr>
                <w:sz w:val="22"/>
              </w:rPr>
            </w:pPr>
            <w:r>
              <w:rPr>
                <w:sz w:val="22"/>
              </w:rPr>
              <w:t>(£3000)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1E0C1" w14:textId="77777777" w:rsidR="003E4797" w:rsidRDefault="00E65C07">
            <w:pPr>
              <w:pStyle w:val="TableRowCentered"/>
              <w:jc w:val="left"/>
              <w:rPr>
                <w:sz w:val="22"/>
                <w:szCs w:val="24"/>
              </w:rPr>
            </w:pPr>
            <w:hyperlink r:id="rId17" w:history="1">
              <w:r w:rsidR="002D45DD">
                <w:rPr>
                  <w:rStyle w:val="Hyperlink"/>
                  <w:sz w:val="22"/>
                  <w:szCs w:val="24"/>
                </w:rPr>
                <w:t>EEF 2017</w:t>
              </w:r>
            </w:hyperlink>
            <w:r w:rsidR="002D45DD">
              <w:rPr>
                <w:sz w:val="22"/>
                <w:szCs w:val="24"/>
              </w:rPr>
              <w:t xml:space="preserve"> </w:t>
            </w:r>
          </w:p>
          <w:p w14:paraId="04DD31D5" w14:textId="77777777" w:rsidR="003E4797" w:rsidRDefault="002D45DD">
            <w:pPr>
              <w:pStyle w:val="TableRowCentered"/>
              <w:jc w:val="left"/>
              <w:rPr>
                <w:i/>
                <w:sz w:val="22"/>
                <w:szCs w:val="24"/>
              </w:rPr>
            </w:pPr>
            <w:r>
              <w:rPr>
                <w:i/>
                <w:sz w:val="22"/>
                <w:szCs w:val="24"/>
              </w:rPr>
              <w:t>Good literacy skills are essential on closing the attainment gap</w:t>
            </w:r>
          </w:p>
          <w:p w14:paraId="6D19ACA3" w14:textId="77777777" w:rsidR="003E4797" w:rsidRDefault="002D45DD">
            <w:pPr>
              <w:pStyle w:val="TableRowCentered"/>
              <w:jc w:val="left"/>
              <w:rPr>
                <w:color w:val="0000FF"/>
                <w:sz w:val="22"/>
                <w:szCs w:val="24"/>
                <w:u w:val="single"/>
              </w:rPr>
            </w:pPr>
            <w:r>
              <w:rPr>
                <w:color w:val="0000FF"/>
                <w:sz w:val="22"/>
                <w:szCs w:val="24"/>
                <w:u w:val="single"/>
              </w:rPr>
              <w:t>EEF toolkit</w:t>
            </w:r>
          </w:p>
          <w:p w14:paraId="6887A6C4" w14:textId="77777777" w:rsidR="003E4797" w:rsidRDefault="002D45DD">
            <w:pPr>
              <w:pStyle w:val="TableRowCentered"/>
              <w:jc w:val="left"/>
              <w:rPr>
                <w:i/>
                <w:sz w:val="22"/>
                <w:szCs w:val="24"/>
              </w:rPr>
            </w:pPr>
            <w:r>
              <w:rPr>
                <w:i/>
                <w:sz w:val="22"/>
                <w:szCs w:val="24"/>
              </w:rPr>
              <w:t>Phonics programmes, impact +5 months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1B90" w14:textId="77777777" w:rsidR="003E4797" w:rsidRDefault="002D45DD">
            <w:pPr>
              <w:pStyle w:val="TableRowCentered"/>
              <w:jc w:val="left"/>
              <w:rPr>
                <w:sz w:val="22"/>
                <w:szCs w:val="24"/>
              </w:rPr>
            </w:pPr>
            <w:r>
              <w:rPr>
                <w:sz w:val="22"/>
                <w:szCs w:val="24"/>
              </w:rPr>
              <w:t>2</w:t>
            </w:r>
          </w:p>
        </w:tc>
      </w:tr>
      <w:tr w:rsidR="003E4797" w14:paraId="21F073B3" w14:textId="77777777">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EF41" w14:textId="77777777" w:rsidR="003E4797" w:rsidRDefault="002D45DD">
            <w:pPr>
              <w:pStyle w:val="TableRow"/>
              <w:ind w:left="0"/>
              <w:rPr>
                <w:sz w:val="22"/>
              </w:rPr>
            </w:pPr>
            <w:r>
              <w:rPr>
                <w:sz w:val="22"/>
              </w:rPr>
              <w:t xml:space="preserve">Mentoring of disadvantaged learners: </w:t>
            </w:r>
          </w:p>
          <w:p w14:paraId="01C4F8E9" w14:textId="77777777" w:rsidR="003E4797" w:rsidRDefault="002D45DD">
            <w:pPr>
              <w:pStyle w:val="TableRow"/>
              <w:ind w:left="0"/>
              <w:rPr>
                <w:sz w:val="22"/>
              </w:rPr>
            </w:pPr>
            <w:r>
              <w:rPr>
                <w:sz w:val="22"/>
              </w:rPr>
              <w:t xml:space="preserve">PP Learning mentor (recruited Dec 2023) focussing on KS3 learners </w:t>
            </w:r>
          </w:p>
          <w:p w14:paraId="18899487" w14:textId="77777777" w:rsidR="003E4797" w:rsidRDefault="002D45DD">
            <w:pPr>
              <w:pStyle w:val="TableRow"/>
              <w:ind w:left="0"/>
              <w:rPr>
                <w:sz w:val="22"/>
              </w:rPr>
            </w:pPr>
            <w:r>
              <w:rPr>
                <w:sz w:val="22"/>
              </w:rPr>
              <w:t>PP Champion focussing on academic support and parental support of KS4 learners</w:t>
            </w:r>
          </w:p>
          <w:p w14:paraId="7A303EA0" w14:textId="77777777" w:rsidR="003E4797" w:rsidRDefault="002D45DD">
            <w:pPr>
              <w:pStyle w:val="TableRow"/>
              <w:ind w:left="0"/>
              <w:rPr>
                <w:sz w:val="22"/>
              </w:rPr>
            </w:pPr>
            <w:r>
              <w:rPr>
                <w:sz w:val="22"/>
              </w:rPr>
              <w:t xml:space="preserve"> (£26733)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FFCF" w14:textId="77777777" w:rsidR="003E4797" w:rsidRDefault="00E65C07">
            <w:pPr>
              <w:pStyle w:val="TableRowCentered"/>
              <w:jc w:val="left"/>
              <w:rPr>
                <w:color w:val="auto"/>
                <w:sz w:val="22"/>
                <w:szCs w:val="24"/>
              </w:rPr>
            </w:pPr>
            <w:hyperlink r:id="rId18" w:history="1">
              <w:r w:rsidR="002D45DD">
                <w:rPr>
                  <w:rStyle w:val="Hyperlink"/>
                  <w:sz w:val="22"/>
                  <w:szCs w:val="24"/>
                </w:rPr>
                <w:t>EEF toolkit</w:t>
              </w:r>
            </w:hyperlink>
            <w:r w:rsidR="002D45DD">
              <w:rPr>
                <w:color w:val="auto"/>
                <w:sz w:val="22"/>
                <w:szCs w:val="24"/>
              </w:rPr>
              <w:t xml:space="preserve"> </w:t>
            </w:r>
          </w:p>
          <w:p w14:paraId="47690999" w14:textId="77777777" w:rsidR="003E4797" w:rsidRDefault="002D45DD">
            <w:pPr>
              <w:pStyle w:val="TableRowCentered"/>
              <w:jc w:val="left"/>
              <w:rPr>
                <w:i/>
                <w:color w:val="auto"/>
                <w:sz w:val="22"/>
                <w:szCs w:val="24"/>
              </w:rPr>
            </w:pPr>
            <w:r>
              <w:rPr>
                <w:i/>
                <w:color w:val="auto"/>
                <w:sz w:val="22"/>
                <w:szCs w:val="24"/>
              </w:rPr>
              <w:t>Mentoring, impact + 2months</w:t>
            </w:r>
          </w:p>
          <w:p w14:paraId="2DCECD47" w14:textId="77777777" w:rsidR="003E4797" w:rsidRDefault="002D45DD">
            <w:pPr>
              <w:pStyle w:val="TableRowCentered"/>
              <w:jc w:val="left"/>
              <w:rPr>
                <w:color w:val="000000" w:themeColor="text1"/>
                <w:sz w:val="22"/>
                <w:szCs w:val="24"/>
                <w:u w:val="single"/>
              </w:rPr>
            </w:pPr>
            <w:r>
              <w:rPr>
                <w:color w:val="000000" w:themeColor="text1"/>
                <w:sz w:val="22"/>
                <w:szCs w:val="24"/>
                <w:u w:val="single"/>
              </w:rPr>
              <w:t>Rowland 2023, Wiltshire conference</w:t>
            </w:r>
          </w:p>
          <w:p w14:paraId="48E6C015" w14:textId="77777777" w:rsidR="003E4797" w:rsidRDefault="002D45DD">
            <w:pPr>
              <w:pStyle w:val="TableRowCentered"/>
              <w:jc w:val="left"/>
              <w:rPr>
                <w:i/>
                <w:color w:val="FF0000"/>
                <w:sz w:val="22"/>
                <w:szCs w:val="24"/>
              </w:rPr>
            </w:pPr>
            <w:r>
              <w:rPr>
                <w:i/>
                <w:color w:val="000000" w:themeColor="text1"/>
                <w:sz w:val="22"/>
                <w:szCs w:val="24"/>
              </w:rPr>
              <w:t>“The impact of 1-1 time to unpick barriers and build relationships cannot be overlooked”</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CA737" w14:textId="77777777" w:rsidR="003E4797" w:rsidRDefault="002D45DD">
            <w:pPr>
              <w:pStyle w:val="TableRowCentered"/>
              <w:jc w:val="left"/>
              <w:rPr>
                <w:sz w:val="22"/>
                <w:szCs w:val="24"/>
              </w:rPr>
            </w:pPr>
            <w:r>
              <w:rPr>
                <w:sz w:val="22"/>
                <w:szCs w:val="24"/>
              </w:rPr>
              <w:t>1, 3, 4</w:t>
            </w:r>
          </w:p>
        </w:tc>
      </w:tr>
    </w:tbl>
    <w:p w14:paraId="1299C43A" w14:textId="77777777" w:rsidR="003E4797" w:rsidRDefault="003E4797">
      <w:pPr>
        <w:rPr>
          <w:b/>
          <w:color w:val="104F75"/>
          <w:sz w:val="28"/>
          <w:szCs w:val="28"/>
        </w:rPr>
      </w:pPr>
    </w:p>
    <w:p w14:paraId="431DF66E" w14:textId="70DFA63D" w:rsidR="003E4797" w:rsidRDefault="002D45DD">
      <w:pPr>
        <w:rPr>
          <w:b/>
          <w:color w:val="104F75"/>
          <w:sz w:val="28"/>
          <w:szCs w:val="28"/>
        </w:rPr>
      </w:pPr>
      <w:r>
        <w:rPr>
          <w:b/>
          <w:color w:val="104F75"/>
          <w:sz w:val="28"/>
          <w:szCs w:val="28"/>
        </w:rPr>
        <w:t>Wider strategies (related to attendance, behaviour, wellbeing)</w:t>
      </w:r>
    </w:p>
    <w:p w14:paraId="303FE1CE" w14:textId="77777777" w:rsidR="003E4797" w:rsidRDefault="002D45DD">
      <w:pPr>
        <w:spacing w:before="240" w:after="120"/>
      </w:pPr>
      <w:r>
        <w:t>Budgeted cost: £114661</w:t>
      </w:r>
    </w:p>
    <w:tbl>
      <w:tblPr>
        <w:tblW w:w="5228" w:type="pct"/>
        <w:tblCellMar>
          <w:left w:w="10" w:type="dxa"/>
          <w:right w:w="10" w:type="dxa"/>
        </w:tblCellMar>
        <w:tblLook w:val="04A0" w:firstRow="1" w:lastRow="0" w:firstColumn="1" w:lastColumn="0" w:noHBand="0" w:noVBand="1"/>
      </w:tblPr>
      <w:tblGrid>
        <w:gridCol w:w="3988"/>
        <w:gridCol w:w="4255"/>
        <w:gridCol w:w="1676"/>
      </w:tblGrid>
      <w:tr w:rsidR="003E4797" w14:paraId="67746410" w14:textId="77777777">
        <w:tc>
          <w:tcPr>
            <w:tcW w:w="39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34CC68" w14:textId="77777777" w:rsidR="003E4797" w:rsidRDefault="002D45DD">
            <w:pPr>
              <w:pStyle w:val="TableHeader"/>
              <w:jc w:val="left"/>
            </w:pPr>
            <w:r>
              <w:t>Activity</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0074545" w14:textId="77777777" w:rsidR="003E4797" w:rsidRDefault="002D45DD">
            <w:pPr>
              <w:pStyle w:val="TableHeader"/>
              <w:jc w:val="left"/>
            </w:pPr>
            <w:r>
              <w:t>Evidence that supports this approach</w:t>
            </w:r>
          </w:p>
        </w:tc>
        <w:tc>
          <w:tcPr>
            <w:tcW w:w="16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2BDDA0" w14:textId="77777777" w:rsidR="003E4797" w:rsidRDefault="002D45DD">
            <w:pPr>
              <w:pStyle w:val="TableHeader"/>
              <w:jc w:val="left"/>
            </w:pPr>
            <w:r>
              <w:t>Challenge number(s) addressed</w:t>
            </w:r>
          </w:p>
        </w:tc>
      </w:tr>
      <w:tr w:rsidR="003E4797" w14:paraId="4D4A22E9"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C8E1" w14:textId="77777777" w:rsidR="003E4797" w:rsidRDefault="002D45DD">
            <w:pPr>
              <w:pStyle w:val="TableRow"/>
              <w:rPr>
                <w:rFonts w:cs="Arial"/>
                <w:sz w:val="22"/>
                <w:szCs w:val="22"/>
              </w:rPr>
            </w:pPr>
            <w:r>
              <w:rPr>
                <w:rFonts w:cs="Arial"/>
                <w:sz w:val="22"/>
                <w:szCs w:val="22"/>
              </w:rPr>
              <w:t>Pastoral staff working in ‘The Hub’ supporting positive learning behaviours (20% of staff costs)</w:t>
            </w:r>
          </w:p>
          <w:p w14:paraId="2309F345" w14:textId="77777777" w:rsidR="003E4797" w:rsidRDefault="002D45DD">
            <w:pPr>
              <w:pStyle w:val="TableRow"/>
              <w:rPr>
                <w:rFonts w:cs="Arial"/>
                <w:sz w:val="22"/>
                <w:szCs w:val="22"/>
              </w:rPr>
            </w:pPr>
            <w:r>
              <w:rPr>
                <w:rFonts w:cs="Arial"/>
                <w:sz w:val="22"/>
                <w:szCs w:val="22"/>
              </w:rPr>
              <w:t>Additional staff member to support resourcing the school day e.g. stationery, uniform (£1000)</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90FDB" w14:textId="77777777" w:rsidR="003E4797" w:rsidRDefault="00E65C07">
            <w:pPr>
              <w:pStyle w:val="TableRowCentered"/>
              <w:jc w:val="left"/>
              <w:rPr>
                <w:rStyle w:val="Hyperlink"/>
                <w:rFonts w:cs="Arial"/>
                <w:color w:val="0D0D0D"/>
                <w:sz w:val="22"/>
                <w:szCs w:val="22"/>
              </w:rPr>
            </w:pPr>
            <w:hyperlink r:id="rId19" w:history="1">
              <w:r w:rsidR="002D45DD">
                <w:rPr>
                  <w:rStyle w:val="Hyperlink"/>
                  <w:rFonts w:cs="Arial"/>
                  <w:sz w:val="22"/>
                  <w:szCs w:val="22"/>
                </w:rPr>
                <w:t>EEF toolkit</w:t>
              </w:r>
            </w:hyperlink>
          </w:p>
          <w:p w14:paraId="1BB74106" w14:textId="77777777" w:rsidR="003E4797" w:rsidRDefault="002D45DD">
            <w:pPr>
              <w:pStyle w:val="TableRowCentered"/>
              <w:ind w:left="0"/>
              <w:jc w:val="left"/>
              <w:rPr>
                <w:rFonts w:cs="Arial"/>
                <w:i/>
                <w:sz w:val="22"/>
                <w:szCs w:val="22"/>
              </w:rPr>
            </w:pPr>
            <w:r>
              <w:rPr>
                <w:rFonts w:cs="Arial"/>
                <w:i/>
                <w:sz w:val="22"/>
                <w:szCs w:val="22"/>
              </w:rPr>
              <w:t xml:space="preserve">Behavioural interventions, impact + 4months </w:t>
            </w:r>
          </w:p>
          <w:p w14:paraId="01CA4DE6" w14:textId="77777777" w:rsidR="003E4797" w:rsidRDefault="002D45DD">
            <w:pPr>
              <w:pStyle w:val="TableRowCentered"/>
              <w:ind w:left="0"/>
              <w:jc w:val="left"/>
              <w:rPr>
                <w:rFonts w:cs="Arial"/>
                <w:i/>
                <w:sz w:val="22"/>
                <w:szCs w:val="22"/>
              </w:rPr>
            </w:pPr>
            <w:r>
              <w:rPr>
                <w:rFonts w:cs="Arial"/>
                <w:i/>
                <w:sz w:val="22"/>
                <w:szCs w:val="22"/>
              </w:rPr>
              <w:t>Parental engagement, impact + 4 months</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F99D1" w14:textId="77777777" w:rsidR="003E4797" w:rsidRDefault="002D45DD">
            <w:pPr>
              <w:pStyle w:val="TableRowCentered"/>
              <w:jc w:val="left"/>
              <w:rPr>
                <w:rFonts w:cs="Arial"/>
                <w:sz w:val="22"/>
                <w:szCs w:val="22"/>
              </w:rPr>
            </w:pPr>
            <w:r>
              <w:rPr>
                <w:rFonts w:cs="Arial"/>
                <w:sz w:val="22"/>
                <w:szCs w:val="22"/>
              </w:rPr>
              <w:t>5, 6, 7</w:t>
            </w:r>
          </w:p>
        </w:tc>
      </w:tr>
      <w:tr w:rsidR="003E4797" w14:paraId="11F954DA"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BEF00" w14:textId="3B8C31D7" w:rsidR="003E4797" w:rsidRDefault="002D45DD" w:rsidP="00B00288">
            <w:pPr>
              <w:pStyle w:val="TableRow"/>
              <w:rPr>
                <w:rFonts w:cs="Arial"/>
                <w:sz w:val="22"/>
                <w:szCs w:val="22"/>
              </w:rPr>
            </w:pPr>
            <w:r>
              <w:rPr>
                <w:rFonts w:cs="Arial"/>
                <w:sz w:val="22"/>
                <w:szCs w:val="22"/>
              </w:rPr>
              <w:lastRenderedPageBreak/>
              <w:t>Contribution to staffing Alternative and Flexible curriculum to work with disadvantaged learners and provide an adapted curriculum where necessary (30% of staff cost)</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3574" w14:textId="77777777" w:rsidR="003E4797" w:rsidRDefault="00E65C07">
            <w:pPr>
              <w:pStyle w:val="TableRowCentered"/>
              <w:jc w:val="left"/>
              <w:rPr>
                <w:rFonts w:cs="Arial"/>
                <w:sz w:val="22"/>
                <w:szCs w:val="22"/>
              </w:rPr>
            </w:pPr>
            <w:hyperlink r:id="rId20" w:history="1">
              <w:r w:rsidR="002D45DD">
                <w:rPr>
                  <w:rStyle w:val="Hyperlink"/>
                  <w:rFonts w:cs="Arial"/>
                  <w:sz w:val="22"/>
                  <w:szCs w:val="22"/>
                </w:rPr>
                <w:t>EEF toolkit</w:t>
              </w:r>
            </w:hyperlink>
            <w:r w:rsidR="002D45DD">
              <w:rPr>
                <w:rFonts w:cs="Arial"/>
                <w:sz w:val="22"/>
                <w:szCs w:val="22"/>
              </w:rPr>
              <w:t xml:space="preserve"> </w:t>
            </w:r>
          </w:p>
          <w:p w14:paraId="079C53DB" w14:textId="77777777" w:rsidR="003E4797" w:rsidRDefault="002D45DD">
            <w:pPr>
              <w:pStyle w:val="TableRowCentered"/>
              <w:jc w:val="left"/>
              <w:rPr>
                <w:rFonts w:cs="Arial"/>
                <w:i/>
                <w:sz w:val="22"/>
                <w:szCs w:val="22"/>
              </w:rPr>
            </w:pPr>
            <w:r>
              <w:rPr>
                <w:rFonts w:cs="Arial"/>
                <w:i/>
                <w:sz w:val="22"/>
                <w:szCs w:val="22"/>
              </w:rPr>
              <w:t>Individualised instruction, impact + 4 months</w:t>
            </w:r>
          </w:p>
          <w:p w14:paraId="3461D779" w14:textId="77777777" w:rsidR="003E4797" w:rsidRDefault="003E4797">
            <w:pPr>
              <w:rPr>
                <w:rFonts w:cs="Arial"/>
                <w:sz w:val="22"/>
                <w:szCs w:val="22"/>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89E15" w14:textId="77777777" w:rsidR="003E4797" w:rsidRDefault="002D45DD">
            <w:pPr>
              <w:pStyle w:val="TableRowCentered"/>
              <w:jc w:val="left"/>
              <w:rPr>
                <w:rFonts w:cs="Arial"/>
                <w:sz w:val="22"/>
                <w:szCs w:val="22"/>
              </w:rPr>
            </w:pPr>
            <w:r>
              <w:rPr>
                <w:rFonts w:cs="Arial"/>
                <w:sz w:val="22"/>
                <w:szCs w:val="22"/>
              </w:rPr>
              <w:t>1, 2, 3, 5</w:t>
            </w:r>
          </w:p>
        </w:tc>
      </w:tr>
      <w:tr w:rsidR="003E4797" w14:paraId="7529AF17"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76FC3" w14:textId="77777777" w:rsidR="003E4797" w:rsidRDefault="002D45DD">
            <w:pPr>
              <w:pStyle w:val="TableRow"/>
              <w:rPr>
                <w:rFonts w:cs="Arial"/>
                <w:sz w:val="22"/>
                <w:szCs w:val="22"/>
              </w:rPr>
            </w:pPr>
            <w:r>
              <w:rPr>
                <w:rFonts w:cs="Arial"/>
                <w:sz w:val="22"/>
                <w:szCs w:val="22"/>
              </w:rPr>
              <w:t>Learning advisor responsible for SEMH (30% of salary)</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054C" w14:textId="77777777" w:rsidR="003E4797" w:rsidRDefault="002D45DD">
            <w:pPr>
              <w:pStyle w:val="TableRowCentered"/>
              <w:jc w:val="left"/>
              <w:rPr>
                <w:rStyle w:val="Hyperlink"/>
                <w:rFonts w:cs="Arial"/>
                <w:sz w:val="22"/>
                <w:szCs w:val="22"/>
              </w:rPr>
            </w:pPr>
            <w:r>
              <w:rPr>
                <w:rFonts w:cs="Arial"/>
                <w:sz w:val="22"/>
                <w:szCs w:val="22"/>
              </w:rPr>
              <w:fldChar w:fldCharType="begin"/>
            </w:r>
            <w:r>
              <w:rPr>
                <w:rFonts w:cs="Arial"/>
                <w:sz w:val="22"/>
                <w:szCs w:val="22"/>
              </w:rPr>
              <w:instrText xml:space="preserve"> HYPERLINK "https://educationendowmentfoundation.org.uk/education-evidence/teaching-learning-toolkit/social-and-emotional-learning" </w:instrText>
            </w:r>
            <w:r>
              <w:rPr>
                <w:rFonts w:cs="Arial"/>
                <w:sz w:val="22"/>
                <w:szCs w:val="22"/>
              </w:rPr>
              <w:fldChar w:fldCharType="separate"/>
            </w:r>
            <w:r>
              <w:rPr>
                <w:rStyle w:val="Hyperlink"/>
                <w:rFonts w:cs="Arial"/>
                <w:sz w:val="22"/>
                <w:szCs w:val="22"/>
              </w:rPr>
              <w:t xml:space="preserve">EEF toolkit </w:t>
            </w:r>
          </w:p>
          <w:p w14:paraId="50AABD73" w14:textId="77777777" w:rsidR="003E4797" w:rsidRDefault="002D45DD">
            <w:pPr>
              <w:pStyle w:val="TableRowCentered"/>
              <w:jc w:val="left"/>
              <w:rPr>
                <w:rFonts w:cs="Arial"/>
                <w:i/>
                <w:sz w:val="22"/>
                <w:szCs w:val="22"/>
              </w:rPr>
            </w:pPr>
            <w:r>
              <w:rPr>
                <w:rFonts w:cs="Arial"/>
                <w:sz w:val="22"/>
                <w:szCs w:val="22"/>
              </w:rPr>
              <w:fldChar w:fldCharType="end"/>
            </w:r>
            <w:r>
              <w:rPr>
                <w:rFonts w:cs="Arial"/>
                <w:i/>
                <w:sz w:val="22"/>
                <w:szCs w:val="22"/>
              </w:rPr>
              <w:t>Social Emotional learning, impact +4 months</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78152" w14:textId="77777777" w:rsidR="003E4797" w:rsidRDefault="002D45DD">
            <w:pPr>
              <w:pStyle w:val="TableRowCentered"/>
              <w:jc w:val="left"/>
              <w:rPr>
                <w:rFonts w:cs="Arial"/>
                <w:sz w:val="22"/>
                <w:szCs w:val="22"/>
              </w:rPr>
            </w:pPr>
            <w:r>
              <w:rPr>
                <w:rFonts w:cs="Arial"/>
                <w:sz w:val="22"/>
                <w:szCs w:val="22"/>
              </w:rPr>
              <w:t>3</w:t>
            </w:r>
          </w:p>
        </w:tc>
      </w:tr>
      <w:tr w:rsidR="003E4797" w14:paraId="3688CE1B"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6E45E" w14:textId="77777777" w:rsidR="003E4797" w:rsidRDefault="002D45DD">
            <w:pPr>
              <w:pStyle w:val="TableRow"/>
              <w:rPr>
                <w:rFonts w:cs="Arial"/>
                <w:sz w:val="22"/>
                <w:szCs w:val="22"/>
              </w:rPr>
            </w:pPr>
            <w:r>
              <w:rPr>
                <w:rFonts w:cs="Arial"/>
                <w:sz w:val="22"/>
                <w:szCs w:val="22"/>
              </w:rPr>
              <w:t xml:space="preserve">Uniform fund </w:t>
            </w:r>
          </w:p>
          <w:p w14:paraId="01A444AB" w14:textId="77777777" w:rsidR="003E4797" w:rsidRDefault="002D45DD">
            <w:pPr>
              <w:pStyle w:val="TableRow"/>
              <w:rPr>
                <w:rFonts w:cs="Arial"/>
                <w:sz w:val="22"/>
                <w:szCs w:val="22"/>
              </w:rPr>
            </w:pPr>
            <w:r>
              <w:rPr>
                <w:rFonts w:cs="Arial"/>
                <w:sz w:val="22"/>
                <w:szCs w:val="22"/>
              </w:rPr>
              <w:t>(£5000)</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8C2DB" w14:textId="77777777" w:rsidR="003E4797" w:rsidRDefault="002D45DD">
            <w:pPr>
              <w:pStyle w:val="TableRowCentered"/>
              <w:jc w:val="left"/>
              <w:rPr>
                <w:rFonts w:cs="Arial"/>
                <w:i/>
                <w:sz w:val="22"/>
                <w:szCs w:val="22"/>
              </w:rPr>
            </w:pPr>
            <w:r>
              <w:rPr>
                <w:rFonts w:cs="Arial"/>
                <w:color w:val="0000FF"/>
                <w:sz w:val="22"/>
                <w:szCs w:val="22"/>
                <w:u w:val="single"/>
              </w:rPr>
              <w:t>Rowland, J, 2021. ‘Addressing Educational Disadvantage: The Essex Way’</w:t>
            </w:r>
            <w:r>
              <w:rPr>
                <w:rFonts w:cs="Arial"/>
                <w:color w:val="0000FF"/>
                <w:sz w:val="22"/>
                <w:szCs w:val="22"/>
              </w:rPr>
              <w:t xml:space="preserve"> </w:t>
            </w:r>
          </w:p>
          <w:p w14:paraId="5C9B0587" w14:textId="77777777" w:rsidR="003E4797" w:rsidRDefault="002D45DD">
            <w:pPr>
              <w:pStyle w:val="TableRowCentered"/>
              <w:jc w:val="left"/>
              <w:rPr>
                <w:rFonts w:cs="Arial"/>
                <w:sz w:val="22"/>
                <w:szCs w:val="22"/>
              </w:rPr>
            </w:pPr>
            <w:r>
              <w:rPr>
                <w:rFonts w:cs="Arial"/>
                <w:i/>
                <w:sz w:val="22"/>
                <w:szCs w:val="22"/>
              </w:rPr>
              <w:t>Seek to provide equity through the pupil premium funding.</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F3A15" w14:textId="77777777" w:rsidR="003E4797" w:rsidRDefault="002D45DD">
            <w:pPr>
              <w:pStyle w:val="TableRowCentered"/>
              <w:jc w:val="left"/>
              <w:rPr>
                <w:rFonts w:cs="Arial"/>
                <w:sz w:val="22"/>
                <w:szCs w:val="22"/>
              </w:rPr>
            </w:pPr>
            <w:r>
              <w:rPr>
                <w:rFonts w:cs="Arial"/>
                <w:sz w:val="22"/>
                <w:szCs w:val="22"/>
              </w:rPr>
              <w:t>7</w:t>
            </w:r>
          </w:p>
        </w:tc>
      </w:tr>
      <w:tr w:rsidR="003E4797" w14:paraId="5B9161DB"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2D8B6" w14:textId="7DBDD827" w:rsidR="003E4797" w:rsidRPr="004F06AA" w:rsidRDefault="002D45DD" w:rsidP="004F06AA">
            <w:pPr>
              <w:pStyle w:val="TableRow"/>
              <w:rPr>
                <w:rFonts w:cs="Arial"/>
                <w:sz w:val="22"/>
                <w:szCs w:val="22"/>
              </w:rPr>
            </w:pPr>
            <w:r>
              <w:rPr>
                <w:rFonts w:cs="Arial"/>
                <w:sz w:val="22"/>
                <w:szCs w:val="22"/>
              </w:rPr>
              <w:t xml:space="preserve">Attendance officer prioritising engaging with disadvantaged learners and their families to attend school (30% of salary) </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91E89" w14:textId="77777777" w:rsidR="003E4797" w:rsidRDefault="00E65C07">
            <w:pPr>
              <w:pStyle w:val="TableRowCentered"/>
              <w:jc w:val="left"/>
              <w:rPr>
                <w:rFonts w:cs="Arial"/>
                <w:i/>
                <w:sz w:val="22"/>
                <w:szCs w:val="22"/>
              </w:rPr>
            </w:pPr>
            <w:hyperlink r:id="rId21" w:history="1">
              <w:r w:rsidR="002D45DD">
                <w:rPr>
                  <w:rStyle w:val="Hyperlink"/>
                  <w:rFonts w:cs="Arial"/>
                  <w:sz w:val="22"/>
                  <w:szCs w:val="22"/>
                </w:rPr>
                <w:t>Taylor, C. 2012</w:t>
              </w:r>
            </w:hyperlink>
            <w:r w:rsidR="002D45DD">
              <w:rPr>
                <w:rFonts w:cs="Arial"/>
                <w:i/>
                <w:sz w:val="22"/>
                <w:szCs w:val="22"/>
              </w:rPr>
              <w:t xml:space="preserve">. </w:t>
            </w:r>
          </w:p>
          <w:p w14:paraId="092ABD15" w14:textId="77777777" w:rsidR="003E4797" w:rsidRDefault="002D45DD">
            <w:pPr>
              <w:pStyle w:val="TableRowCentered"/>
              <w:jc w:val="left"/>
              <w:rPr>
                <w:rFonts w:cs="Arial"/>
                <w:sz w:val="22"/>
                <w:szCs w:val="22"/>
              </w:rPr>
            </w:pPr>
            <w:r>
              <w:rPr>
                <w:rFonts w:cs="Arial"/>
                <w:i/>
                <w:sz w:val="22"/>
                <w:szCs w:val="22"/>
              </w:rPr>
              <w:t>Attendance importance on progress. Learners in school will make increased progress.</w:t>
            </w:r>
            <w:r>
              <w:rPr>
                <w:rFonts w:cs="Arial"/>
                <w:sz w:val="22"/>
                <w:szCs w:val="22"/>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20A0C" w14:textId="77777777" w:rsidR="003E4797" w:rsidRDefault="002D45DD">
            <w:pPr>
              <w:pStyle w:val="TableRowCentered"/>
              <w:jc w:val="left"/>
              <w:rPr>
                <w:rFonts w:cs="Arial"/>
                <w:sz w:val="22"/>
                <w:szCs w:val="22"/>
              </w:rPr>
            </w:pPr>
            <w:r>
              <w:rPr>
                <w:rFonts w:cs="Arial"/>
                <w:sz w:val="22"/>
                <w:szCs w:val="22"/>
              </w:rPr>
              <w:t>1</w:t>
            </w:r>
          </w:p>
        </w:tc>
      </w:tr>
      <w:tr w:rsidR="003E4797" w14:paraId="366AF88B"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78278" w14:textId="47FC3C5F" w:rsidR="003E4797" w:rsidRDefault="002D45DD" w:rsidP="004F06AA">
            <w:pPr>
              <w:pStyle w:val="TableRow"/>
              <w:rPr>
                <w:rFonts w:cs="Arial"/>
                <w:sz w:val="22"/>
                <w:szCs w:val="22"/>
              </w:rPr>
            </w:pPr>
            <w:r>
              <w:rPr>
                <w:rFonts w:cs="Arial"/>
                <w:sz w:val="22"/>
                <w:szCs w:val="22"/>
              </w:rPr>
              <w:t>KGA+ enrichment fund to support after school clubs including ‘Success Lounge’ focussing on a successful transition to secondary schools and Young Carers Network (£1000)</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2440D" w14:textId="77777777" w:rsidR="003E4797" w:rsidRDefault="00E65C07">
            <w:pPr>
              <w:pStyle w:val="TableRowCentered"/>
              <w:jc w:val="left"/>
              <w:rPr>
                <w:rStyle w:val="Hyperlink"/>
                <w:rFonts w:cs="Arial"/>
                <w:sz w:val="22"/>
                <w:szCs w:val="22"/>
              </w:rPr>
            </w:pPr>
            <w:hyperlink r:id="rId22" w:history="1">
              <w:r w:rsidR="002D45DD">
                <w:rPr>
                  <w:rStyle w:val="Hyperlink"/>
                  <w:rFonts w:cs="Arial"/>
                  <w:sz w:val="22"/>
                  <w:szCs w:val="22"/>
                </w:rPr>
                <w:t>Nuffield Foundation 2016</w:t>
              </w:r>
            </w:hyperlink>
          </w:p>
          <w:p w14:paraId="68F79B08" w14:textId="77777777" w:rsidR="003E4797" w:rsidRDefault="002D45DD">
            <w:pPr>
              <w:pStyle w:val="TableRowCentered"/>
              <w:jc w:val="left"/>
              <w:rPr>
                <w:rFonts w:cs="Arial"/>
                <w:sz w:val="22"/>
                <w:szCs w:val="22"/>
              </w:rPr>
            </w:pPr>
            <w:r>
              <w:rPr>
                <w:rFonts w:cs="Arial"/>
                <w:i/>
                <w:sz w:val="22"/>
                <w:szCs w:val="22"/>
              </w:rPr>
              <w:t xml:space="preserve"> ‘Extracurricular clubs boost performance of disadvantaged students’</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E890E" w14:textId="77777777" w:rsidR="003E4797" w:rsidRDefault="002D45DD">
            <w:pPr>
              <w:pStyle w:val="TableRowCentered"/>
              <w:jc w:val="left"/>
              <w:rPr>
                <w:rFonts w:cs="Arial"/>
                <w:sz w:val="22"/>
                <w:szCs w:val="22"/>
              </w:rPr>
            </w:pPr>
            <w:r>
              <w:rPr>
                <w:rFonts w:cs="Arial"/>
                <w:sz w:val="22"/>
                <w:szCs w:val="22"/>
              </w:rPr>
              <w:t>3, 7</w:t>
            </w:r>
          </w:p>
        </w:tc>
      </w:tr>
      <w:tr w:rsidR="003E4797" w14:paraId="69389E4C"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A0B89" w14:textId="77777777" w:rsidR="003E4797" w:rsidRDefault="002D45DD">
            <w:pPr>
              <w:pStyle w:val="TableRow"/>
              <w:rPr>
                <w:rFonts w:cs="Arial"/>
                <w:sz w:val="22"/>
                <w:szCs w:val="22"/>
              </w:rPr>
            </w:pPr>
            <w:r>
              <w:rPr>
                <w:rFonts w:cs="Arial"/>
                <w:sz w:val="22"/>
                <w:szCs w:val="22"/>
              </w:rPr>
              <w:t>Summer School for new Year 7 pupils. (£7000)</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FCA47" w14:textId="77777777" w:rsidR="003E4797" w:rsidRDefault="00E65C07">
            <w:pPr>
              <w:pStyle w:val="TableRowCentered"/>
              <w:jc w:val="left"/>
              <w:rPr>
                <w:rFonts w:cs="Arial"/>
                <w:sz w:val="22"/>
                <w:szCs w:val="22"/>
              </w:rPr>
            </w:pPr>
            <w:hyperlink r:id="rId23" w:history="1">
              <w:r w:rsidR="002D45DD">
                <w:rPr>
                  <w:rStyle w:val="Hyperlink"/>
                  <w:rFonts w:cs="Arial"/>
                  <w:sz w:val="22"/>
                  <w:szCs w:val="22"/>
                </w:rPr>
                <w:t>Summer schools | EEF toolkit</w:t>
              </w:r>
            </w:hyperlink>
          </w:p>
          <w:p w14:paraId="27F9CBA6" w14:textId="77777777" w:rsidR="003E4797" w:rsidRDefault="002D45DD">
            <w:pPr>
              <w:pStyle w:val="TableRowCentered"/>
              <w:jc w:val="left"/>
              <w:rPr>
                <w:rFonts w:cs="Arial"/>
                <w:i/>
                <w:sz w:val="22"/>
                <w:szCs w:val="22"/>
              </w:rPr>
            </w:pPr>
            <w:r>
              <w:rPr>
                <w:rFonts w:cs="Arial"/>
                <w:i/>
                <w:sz w:val="22"/>
                <w:szCs w:val="22"/>
              </w:rPr>
              <w:t>Transition to secondary school promotes greater progress, impact + 3 months</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58602" w14:textId="77777777" w:rsidR="003E4797" w:rsidRDefault="002D45DD">
            <w:pPr>
              <w:pStyle w:val="TableRowCentered"/>
              <w:jc w:val="left"/>
              <w:rPr>
                <w:rFonts w:cs="Arial"/>
                <w:sz w:val="22"/>
                <w:szCs w:val="22"/>
              </w:rPr>
            </w:pPr>
            <w:r>
              <w:rPr>
                <w:rFonts w:cs="Arial"/>
                <w:sz w:val="22"/>
                <w:szCs w:val="22"/>
              </w:rPr>
              <w:t>All (preventative)</w:t>
            </w:r>
          </w:p>
        </w:tc>
      </w:tr>
      <w:tr w:rsidR="003E4797" w14:paraId="569C9B79"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FC6D" w14:textId="77777777" w:rsidR="003E4797" w:rsidRDefault="002D45DD">
            <w:pPr>
              <w:pStyle w:val="TableRow"/>
              <w:rPr>
                <w:rFonts w:cs="Arial"/>
                <w:sz w:val="22"/>
                <w:szCs w:val="22"/>
              </w:rPr>
            </w:pPr>
            <w:r>
              <w:rPr>
                <w:rFonts w:cs="Arial"/>
                <w:sz w:val="22"/>
                <w:szCs w:val="22"/>
              </w:rPr>
              <w:t>Music tuition (£2500)</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032DA" w14:textId="77777777" w:rsidR="003E4797" w:rsidRDefault="00E65C07">
            <w:pPr>
              <w:pStyle w:val="TableRowCentered"/>
              <w:jc w:val="left"/>
              <w:rPr>
                <w:rFonts w:cs="Arial"/>
                <w:i/>
                <w:sz w:val="22"/>
                <w:szCs w:val="22"/>
              </w:rPr>
            </w:pPr>
            <w:hyperlink r:id="rId24" w:history="1">
              <w:r w:rsidR="002D45DD">
                <w:rPr>
                  <w:rStyle w:val="Hyperlink"/>
                  <w:rFonts w:cs="Arial"/>
                  <w:sz w:val="22"/>
                  <w:szCs w:val="22"/>
                </w:rPr>
                <w:t>Arts participation | EEF</w:t>
              </w:r>
            </w:hyperlink>
            <w:r w:rsidR="002D45DD">
              <w:rPr>
                <w:rFonts w:cs="Arial"/>
                <w:color w:val="0000FF"/>
                <w:sz w:val="22"/>
                <w:szCs w:val="22"/>
                <w:u w:val="single"/>
              </w:rPr>
              <w:t xml:space="preserve"> </w:t>
            </w:r>
          </w:p>
          <w:p w14:paraId="62C2A4AD" w14:textId="77777777" w:rsidR="003E4797" w:rsidRDefault="002D45DD">
            <w:pPr>
              <w:pStyle w:val="TableRowCentered"/>
              <w:jc w:val="left"/>
              <w:rPr>
                <w:rFonts w:cs="Arial"/>
                <w:sz w:val="22"/>
                <w:szCs w:val="22"/>
              </w:rPr>
            </w:pPr>
            <w:r>
              <w:rPr>
                <w:rFonts w:cs="Arial"/>
                <w:i/>
                <w:color w:val="auto"/>
                <w:sz w:val="22"/>
                <w:szCs w:val="22"/>
              </w:rPr>
              <w:t>Arts learning supports broader development, impact + 3 months</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3359E" w14:textId="77777777" w:rsidR="003E4797" w:rsidRDefault="002D45DD">
            <w:pPr>
              <w:pStyle w:val="TableRowCentered"/>
              <w:jc w:val="left"/>
              <w:rPr>
                <w:rFonts w:cs="Arial"/>
                <w:sz w:val="22"/>
                <w:szCs w:val="22"/>
              </w:rPr>
            </w:pPr>
            <w:r>
              <w:rPr>
                <w:rFonts w:cs="Arial"/>
                <w:sz w:val="22"/>
                <w:szCs w:val="22"/>
              </w:rPr>
              <w:t>7</w:t>
            </w:r>
          </w:p>
        </w:tc>
      </w:tr>
      <w:tr w:rsidR="003E4797" w14:paraId="06353A9F"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1C887" w14:textId="77777777" w:rsidR="003E4797" w:rsidRDefault="002D45DD">
            <w:pPr>
              <w:pStyle w:val="TableRow"/>
              <w:rPr>
                <w:rFonts w:cs="Arial"/>
                <w:sz w:val="22"/>
                <w:szCs w:val="22"/>
              </w:rPr>
            </w:pPr>
            <w:r>
              <w:rPr>
                <w:rFonts w:cs="Arial"/>
                <w:sz w:val="22"/>
                <w:szCs w:val="22"/>
              </w:rPr>
              <w:t>Careers contribution (30% of staff costs)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5934" w14:textId="77777777" w:rsidR="003E4797" w:rsidRDefault="002D45DD">
            <w:pPr>
              <w:pStyle w:val="TableRowCentered"/>
              <w:jc w:val="left"/>
              <w:rPr>
                <w:rFonts w:cs="Arial"/>
                <w:i/>
                <w:sz w:val="22"/>
                <w:szCs w:val="22"/>
              </w:rPr>
            </w:pPr>
            <w:proofErr w:type="spellStart"/>
            <w:r>
              <w:rPr>
                <w:rFonts w:cs="Arial"/>
                <w:color w:val="0000FF"/>
                <w:sz w:val="22"/>
                <w:szCs w:val="22"/>
                <w:u w:val="single"/>
              </w:rPr>
              <w:t>Blanford</w:t>
            </w:r>
            <w:proofErr w:type="spellEnd"/>
            <w:r>
              <w:rPr>
                <w:rFonts w:cs="Arial"/>
                <w:color w:val="0000FF"/>
                <w:sz w:val="22"/>
                <w:szCs w:val="22"/>
                <w:u w:val="single"/>
              </w:rPr>
              <w:t xml:space="preserve">, S. 2018, ‘Born to </w:t>
            </w:r>
            <w:proofErr w:type="gramStart"/>
            <w:r>
              <w:rPr>
                <w:rFonts w:cs="Arial"/>
                <w:color w:val="0000FF"/>
                <w:sz w:val="22"/>
                <w:szCs w:val="22"/>
                <w:u w:val="single"/>
              </w:rPr>
              <w:t>fail?;</w:t>
            </w:r>
            <w:proofErr w:type="gramEnd"/>
            <w:r>
              <w:rPr>
                <w:rFonts w:cs="Arial"/>
                <w:color w:val="0000FF"/>
                <w:sz w:val="22"/>
                <w:szCs w:val="22"/>
                <w:u w:val="single"/>
              </w:rPr>
              <w:t xml:space="preserve"> social mobility, a working class view’</w:t>
            </w:r>
            <w:r>
              <w:rPr>
                <w:rFonts w:cs="Arial"/>
                <w:i/>
                <w:color w:val="0000FF"/>
                <w:sz w:val="22"/>
                <w:szCs w:val="22"/>
              </w:rPr>
              <w:t xml:space="preserve"> </w:t>
            </w:r>
            <w:r>
              <w:rPr>
                <w:rFonts w:cs="Arial"/>
                <w:i/>
                <w:sz w:val="22"/>
                <w:szCs w:val="22"/>
              </w:rPr>
              <w:t xml:space="preserve">Disadvantaged learners require additional early careers support to raise aspirations and help network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935FF" w14:textId="77777777" w:rsidR="003E4797" w:rsidRDefault="002D45DD">
            <w:pPr>
              <w:pStyle w:val="TableRowCentered"/>
              <w:jc w:val="left"/>
              <w:rPr>
                <w:rFonts w:cs="Arial"/>
                <w:sz w:val="22"/>
                <w:szCs w:val="22"/>
              </w:rPr>
            </w:pPr>
            <w:r>
              <w:rPr>
                <w:rFonts w:cs="Arial"/>
                <w:sz w:val="22"/>
                <w:szCs w:val="22"/>
              </w:rPr>
              <w:t>4</w:t>
            </w:r>
          </w:p>
        </w:tc>
      </w:tr>
      <w:tr w:rsidR="003E4797" w14:paraId="21892E17" w14:textId="77777777">
        <w:tc>
          <w:tcPr>
            <w:tcW w:w="3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40709" w14:textId="77777777" w:rsidR="003E4797" w:rsidRDefault="002D45DD">
            <w:pPr>
              <w:pStyle w:val="TableRow"/>
              <w:rPr>
                <w:rFonts w:cs="Arial"/>
                <w:sz w:val="22"/>
                <w:szCs w:val="22"/>
              </w:rPr>
            </w:pPr>
            <w:r>
              <w:rPr>
                <w:rFonts w:cs="Arial"/>
                <w:sz w:val="22"/>
                <w:szCs w:val="22"/>
              </w:rPr>
              <w:t xml:space="preserve">Safeguarding lead to manage the increased needs since COVID that disproportionally impact our disadvantaged learners (30% of salary) </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E0B2" w14:textId="77777777" w:rsidR="003E4797" w:rsidRDefault="002D45DD">
            <w:pPr>
              <w:pStyle w:val="TableRowCentered"/>
              <w:jc w:val="left"/>
              <w:rPr>
                <w:rFonts w:cs="Arial"/>
                <w:i/>
                <w:sz w:val="22"/>
                <w:szCs w:val="22"/>
              </w:rPr>
            </w:pPr>
            <w:r>
              <w:rPr>
                <w:rFonts w:cs="Arial"/>
                <w:i/>
                <w:sz w:val="22"/>
                <w:szCs w:val="22"/>
              </w:rPr>
              <w:t xml:space="preserve">The proportion of pupils with safeguarding needs entering alternative and flexible provision before Year 11 has increased since COVID and the safeguarding incidents have increased by 50%. This role will increase the capacity to deliver more proactive work.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40AAE" w14:textId="77777777" w:rsidR="003E4797" w:rsidRDefault="002D45DD">
            <w:pPr>
              <w:pStyle w:val="TableRowCentered"/>
              <w:jc w:val="left"/>
              <w:rPr>
                <w:rFonts w:cs="Arial"/>
                <w:sz w:val="22"/>
                <w:szCs w:val="22"/>
              </w:rPr>
            </w:pPr>
            <w:r>
              <w:rPr>
                <w:rFonts w:cs="Arial"/>
                <w:sz w:val="22"/>
                <w:szCs w:val="22"/>
              </w:rPr>
              <w:t>5</w:t>
            </w:r>
          </w:p>
        </w:tc>
      </w:tr>
    </w:tbl>
    <w:p w14:paraId="1FC39945" w14:textId="77777777" w:rsidR="003E4797" w:rsidRDefault="003E4797">
      <w:pPr>
        <w:rPr>
          <w:b/>
          <w:bCs/>
          <w:color w:val="104F75"/>
          <w:sz w:val="28"/>
          <w:szCs w:val="28"/>
        </w:rPr>
      </w:pPr>
    </w:p>
    <w:p w14:paraId="6616EEA1" w14:textId="77777777" w:rsidR="003E4797" w:rsidRDefault="002D45DD">
      <w:pPr>
        <w:rPr>
          <w:b/>
          <w:iCs/>
          <w:color w:val="104F75"/>
          <w:sz w:val="28"/>
          <w:szCs w:val="28"/>
        </w:rPr>
      </w:pPr>
      <w:r>
        <w:rPr>
          <w:b/>
          <w:bCs/>
          <w:color w:val="104F75"/>
          <w:sz w:val="28"/>
          <w:szCs w:val="28"/>
        </w:rPr>
        <w:t>Total budgeted cost: £</w:t>
      </w:r>
      <w:r>
        <w:rPr>
          <w:b/>
          <w:iCs/>
          <w:color w:val="104F75"/>
          <w:sz w:val="28"/>
          <w:szCs w:val="28"/>
        </w:rPr>
        <w:t>230433</w:t>
      </w:r>
    </w:p>
    <w:p w14:paraId="2F644DAD" w14:textId="77777777" w:rsidR="003E4797" w:rsidRDefault="002D45DD">
      <w:r>
        <w:rPr>
          <w:b/>
          <w:iCs/>
          <w:color w:val="104F75"/>
          <w:sz w:val="22"/>
          <w:szCs w:val="28"/>
        </w:rPr>
        <w:t>£493 contingency budget</w:t>
      </w:r>
    </w:p>
    <w:p w14:paraId="2FEE19A6" w14:textId="3A565AD6" w:rsidR="003E4797" w:rsidRDefault="002D45DD">
      <w:pPr>
        <w:pStyle w:val="Heading1"/>
      </w:pPr>
      <w:r>
        <w:lastRenderedPageBreak/>
        <w:t>Part B: Review of the previous academic year</w:t>
      </w:r>
      <w:r w:rsidR="00B3437B">
        <w:t xml:space="preserve"> (</w:t>
      </w:r>
      <w:r w:rsidR="00B3437B" w:rsidRPr="00E65C07">
        <w:rPr>
          <w:highlight w:val="yellow"/>
        </w:rPr>
        <w:t>20</w:t>
      </w:r>
      <w:r w:rsidR="00B02D53" w:rsidRPr="00E65C07">
        <w:rPr>
          <w:highlight w:val="yellow"/>
        </w:rPr>
        <w:t>24-25</w:t>
      </w:r>
      <w:r w:rsidR="00B02D53">
        <w:t>)</w:t>
      </w:r>
    </w:p>
    <w:p w14:paraId="41099E12" w14:textId="132DE23E" w:rsidR="003E4797" w:rsidRDefault="004F06AA">
      <w:pPr>
        <w:pStyle w:val="Heading2"/>
      </w:pPr>
      <w:r>
        <w:rPr>
          <w:noProof/>
        </w:rPr>
        <mc:AlternateContent>
          <mc:Choice Requires="wps">
            <w:drawing>
              <wp:anchor distT="45720" distB="45720" distL="114300" distR="114300" simplePos="0" relativeHeight="251658240" behindDoc="0" locked="0" layoutInCell="1" allowOverlap="1" wp14:anchorId="0CEF2DE8" wp14:editId="759A7E07">
                <wp:simplePos x="0" y="0"/>
                <wp:positionH relativeFrom="margin">
                  <wp:align>right</wp:align>
                </wp:positionH>
                <wp:positionV relativeFrom="paragraph">
                  <wp:posOffset>506674</wp:posOffset>
                </wp:positionV>
                <wp:extent cx="6002655" cy="5986780"/>
                <wp:effectExtent l="0" t="0" r="1714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5987332"/>
                        </a:xfrm>
                        <a:prstGeom prst="rect">
                          <a:avLst/>
                        </a:prstGeom>
                        <a:solidFill>
                          <a:srgbClr val="FFFFFF"/>
                        </a:solidFill>
                        <a:ln w="9525">
                          <a:solidFill>
                            <a:srgbClr val="000000"/>
                          </a:solidFill>
                          <a:miter lim="800000"/>
                          <a:headEnd/>
                          <a:tailEnd/>
                        </a:ln>
                      </wps:spPr>
                      <wps:txbx>
                        <w:txbxContent>
                          <w:p w14:paraId="6502F510" w14:textId="77777777" w:rsidR="00696CE5" w:rsidRPr="00337EAC" w:rsidRDefault="00696CE5" w:rsidP="00696CE5">
                            <w:pPr>
                              <w:spacing w:after="0"/>
                              <w:rPr>
                                <w:b/>
                                <w:bCs/>
                                <w:sz w:val="22"/>
                                <w:szCs w:val="22"/>
                              </w:rPr>
                            </w:pPr>
                            <w:r w:rsidRPr="00337EAC">
                              <w:rPr>
                                <w:b/>
                                <w:bCs/>
                                <w:sz w:val="22"/>
                                <w:szCs w:val="22"/>
                              </w:rPr>
                              <w:t xml:space="preserve">Attainment 8 </w:t>
                            </w:r>
                          </w:p>
                          <w:p w14:paraId="3D8059C1" w14:textId="77777777" w:rsidR="00696CE5" w:rsidRPr="00337EAC" w:rsidRDefault="00696CE5" w:rsidP="00696CE5">
                            <w:pPr>
                              <w:spacing w:after="0"/>
                              <w:rPr>
                                <w:sz w:val="22"/>
                                <w:szCs w:val="22"/>
                              </w:rPr>
                            </w:pPr>
                            <w:r w:rsidRPr="00337EAC">
                              <w:rPr>
                                <w:sz w:val="22"/>
                                <w:szCs w:val="22"/>
                              </w:rPr>
                              <w:t>Nationally, the average Attainment 8 for PP students improved in 2025 from an APS of 3.9</w:t>
                            </w:r>
                            <w:r>
                              <w:rPr>
                                <w:sz w:val="22"/>
                                <w:szCs w:val="22"/>
                              </w:rPr>
                              <w:t>1</w:t>
                            </w:r>
                            <w:r w:rsidRPr="00337EAC">
                              <w:rPr>
                                <w:sz w:val="22"/>
                                <w:szCs w:val="22"/>
                              </w:rPr>
                              <w:t xml:space="preserve"> to 3.9</w:t>
                            </w:r>
                            <w:r>
                              <w:rPr>
                                <w:sz w:val="22"/>
                                <w:szCs w:val="22"/>
                              </w:rPr>
                              <w:t>3</w:t>
                            </w:r>
                            <w:r w:rsidRPr="00337EAC">
                              <w:rPr>
                                <w:sz w:val="22"/>
                                <w:szCs w:val="22"/>
                              </w:rPr>
                              <w:t xml:space="preserve">. The national attainment gap stood at 13.6 points in 2018/19 to 15.3 points in 2022/23 and to 15.5 in 2023/24. The widening was caused by the disadvantaged group having a larger decrease than the non-disadvantaged group. </w:t>
                            </w:r>
                          </w:p>
                          <w:p w14:paraId="00000D05" w14:textId="77777777" w:rsidR="00696CE5" w:rsidRPr="00337EAC" w:rsidRDefault="00696CE5" w:rsidP="00696CE5">
                            <w:pPr>
                              <w:rPr>
                                <w:sz w:val="22"/>
                                <w:szCs w:val="22"/>
                              </w:rPr>
                            </w:pPr>
                            <w:r w:rsidRPr="00337EAC">
                              <w:rPr>
                                <w:sz w:val="22"/>
                                <w:szCs w:val="22"/>
                              </w:rPr>
                              <w:t xml:space="preserve">At Kingsbury Green Academy the APS for PP students in 2025 was 25.29. The gap between PP and non-PP students was 20.84 which indicates that the strategy at KS4 </w:t>
                            </w:r>
                            <w:r>
                              <w:rPr>
                                <w:sz w:val="22"/>
                                <w:szCs w:val="22"/>
                              </w:rPr>
                              <w:t>did</w:t>
                            </w:r>
                            <w:r w:rsidRPr="00337EAC">
                              <w:rPr>
                                <w:sz w:val="22"/>
                                <w:szCs w:val="22"/>
                              </w:rPr>
                              <w:t xml:space="preserve"> not ha</w:t>
                            </w:r>
                            <w:r>
                              <w:rPr>
                                <w:sz w:val="22"/>
                                <w:szCs w:val="22"/>
                              </w:rPr>
                              <w:t>ve</w:t>
                            </w:r>
                            <w:r w:rsidRPr="00337EAC">
                              <w:rPr>
                                <w:sz w:val="22"/>
                                <w:szCs w:val="22"/>
                              </w:rPr>
                              <w:t xml:space="preserve"> the desired outcomes in terms of closing the gap furthermore the </w:t>
                            </w:r>
                            <w:r>
                              <w:rPr>
                                <w:sz w:val="22"/>
                                <w:szCs w:val="22"/>
                              </w:rPr>
                              <w:t xml:space="preserve">attainment gap </w:t>
                            </w:r>
                            <w:r w:rsidRPr="00337EAC">
                              <w:rPr>
                                <w:sz w:val="22"/>
                                <w:szCs w:val="22"/>
                              </w:rPr>
                              <w:t>for PP students in both English and Maths is significant indicating further targeted work is required.</w:t>
                            </w:r>
                            <w:r>
                              <w:rPr>
                                <w:sz w:val="22"/>
                                <w:szCs w:val="22"/>
                              </w:rPr>
                              <w:t xml:space="preserve"> </w:t>
                            </w:r>
                            <w:r w:rsidRPr="00337EAC">
                              <w:rPr>
                                <w:sz w:val="22"/>
                                <w:szCs w:val="22"/>
                              </w:rPr>
                              <w:t xml:space="preserve">There were encouraging improvements in </w:t>
                            </w:r>
                            <w:r>
                              <w:rPr>
                                <w:sz w:val="22"/>
                                <w:szCs w:val="22"/>
                              </w:rPr>
                              <w:t>attainment</w:t>
                            </w:r>
                            <w:r w:rsidRPr="00337EAC">
                              <w:rPr>
                                <w:sz w:val="22"/>
                                <w:szCs w:val="22"/>
                              </w:rPr>
                              <w:t xml:space="preserve"> in the following subject areas:</w:t>
                            </w:r>
                          </w:p>
                          <w:p w14:paraId="1D002C5F"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Chemistry</w:t>
                            </w:r>
                          </w:p>
                          <w:p w14:paraId="2AB2EACB"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Physics</w:t>
                            </w:r>
                          </w:p>
                          <w:p w14:paraId="2CE62A71"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Statistics</w:t>
                            </w:r>
                          </w:p>
                          <w:p w14:paraId="14F6E97A"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Health Studies</w:t>
                            </w:r>
                          </w:p>
                          <w:p w14:paraId="5F67982D"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Multimedia</w:t>
                            </w:r>
                          </w:p>
                          <w:p w14:paraId="2445F2A8" w14:textId="77777777" w:rsidR="00696CE5" w:rsidRPr="00337EAC" w:rsidRDefault="00696CE5" w:rsidP="00696CE5">
                            <w:pPr>
                              <w:spacing w:after="0"/>
                              <w:rPr>
                                <w:b/>
                                <w:bCs/>
                                <w:sz w:val="22"/>
                                <w:szCs w:val="22"/>
                              </w:rPr>
                            </w:pPr>
                            <w:r w:rsidRPr="00337EAC">
                              <w:rPr>
                                <w:b/>
                                <w:bCs/>
                                <w:sz w:val="22"/>
                                <w:szCs w:val="22"/>
                              </w:rPr>
                              <w:t xml:space="preserve">Progress 8 </w:t>
                            </w:r>
                          </w:p>
                          <w:p w14:paraId="2A7AD79F" w14:textId="77777777" w:rsidR="00696CE5" w:rsidRDefault="00696CE5" w:rsidP="00696CE5">
                            <w:pPr>
                              <w:spacing w:after="0"/>
                              <w:rPr>
                                <w:sz w:val="22"/>
                                <w:szCs w:val="22"/>
                              </w:rPr>
                            </w:pPr>
                            <w:r>
                              <w:rPr>
                                <w:sz w:val="22"/>
                                <w:szCs w:val="22"/>
                              </w:rPr>
                              <w:t>Nationally p</w:t>
                            </w:r>
                            <w:r w:rsidRPr="00337EAC">
                              <w:rPr>
                                <w:sz w:val="22"/>
                                <w:szCs w:val="22"/>
                              </w:rPr>
                              <w:t xml:space="preserve">rogress 8 scores have not been recorded this year because of the lack of KS2 data. Internal, unverified data shows that progress for non-PP students improved to sit at +0.43 whilst the PP students’ progress score is –1.38. Work needs to be done to ensure that barriers to progress for our disadvantaged students are removed. </w:t>
                            </w:r>
                          </w:p>
                          <w:p w14:paraId="45AEB844" w14:textId="77777777" w:rsidR="00696CE5" w:rsidRPr="00337EAC" w:rsidRDefault="00696CE5" w:rsidP="00696CE5">
                            <w:pPr>
                              <w:spacing w:after="0"/>
                              <w:rPr>
                                <w:sz w:val="22"/>
                                <w:szCs w:val="22"/>
                              </w:rPr>
                            </w:pPr>
                          </w:p>
                          <w:p w14:paraId="5ADFE9CF" w14:textId="77777777" w:rsidR="00696CE5" w:rsidRPr="00337EAC" w:rsidRDefault="00696CE5" w:rsidP="00696CE5">
                            <w:pPr>
                              <w:spacing w:after="0"/>
                              <w:rPr>
                                <w:b/>
                                <w:bCs/>
                                <w:sz w:val="22"/>
                                <w:szCs w:val="22"/>
                              </w:rPr>
                            </w:pPr>
                            <w:r w:rsidRPr="00337EAC">
                              <w:rPr>
                                <w:b/>
                                <w:bCs/>
                                <w:sz w:val="22"/>
                                <w:szCs w:val="22"/>
                              </w:rPr>
                              <w:t xml:space="preserve">Attendance, Behaviour and Well-being </w:t>
                            </w:r>
                          </w:p>
                          <w:p w14:paraId="5B19939F" w14:textId="77777777" w:rsidR="00696CE5" w:rsidRDefault="00696CE5" w:rsidP="00696CE5">
                            <w:pPr>
                              <w:spacing w:after="0"/>
                              <w:rPr>
                                <w:sz w:val="22"/>
                                <w:szCs w:val="22"/>
                              </w:rPr>
                            </w:pPr>
                            <w:r w:rsidRPr="00337EAC">
                              <w:rPr>
                                <w:sz w:val="22"/>
                                <w:szCs w:val="22"/>
                              </w:rPr>
                              <w:t>The end of year attendance for our disadvantaged students was 84.67% compared to 92.07% for non-</w:t>
                            </w:r>
                            <w:r>
                              <w:rPr>
                                <w:sz w:val="22"/>
                                <w:szCs w:val="22"/>
                              </w:rPr>
                              <w:t>disadvantaged</w:t>
                            </w:r>
                            <w:r w:rsidRPr="00337EAC">
                              <w:rPr>
                                <w:sz w:val="22"/>
                                <w:szCs w:val="22"/>
                              </w:rPr>
                              <w:t xml:space="preserve"> (7.4% difference). However, attendance data improved towards the end of last year and continues to do so due to creating a </w:t>
                            </w:r>
                            <w:r>
                              <w:rPr>
                                <w:sz w:val="22"/>
                                <w:szCs w:val="22"/>
                              </w:rPr>
                              <w:t>culture</w:t>
                            </w:r>
                            <w:r w:rsidRPr="00337EAC">
                              <w:rPr>
                                <w:sz w:val="22"/>
                                <w:szCs w:val="22"/>
                              </w:rPr>
                              <w:t xml:space="preserve"> of belonging for all students as a whole school focus as well as dedicated senior staff and resources being used to ensure improvements are made.</w:t>
                            </w:r>
                          </w:p>
                          <w:p w14:paraId="0204A3FD" w14:textId="77777777" w:rsidR="00696CE5" w:rsidRPr="00337EAC" w:rsidRDefault="00696CE5" w:rsidP="00696CE5">
                            <w:pPr>
                              <w:rPr>
                                <w:sz w:val="22"/>
                                <w:szCs w:val="22"/>
                              </w:rPr>
                            </w:pPr>
                            <w:r w:rsidRPr="00337EAC">
                              <w:rPr>
                                <w:sz w:val="22"/>
                                <w:szCs w:val="22"/>
                              </w:rPr>
                              <w:t>The table below shows the percentage of negative incidents by month (from Jan to July</w:t>
                            </w:r>
                            <w:r>
                              <w:rPr>
                                <w:sz w:val="22"/>
                                <w:szCs w:val="22"/>
                              </w:rPr>
                              <w:t xml:space="preserve"> only</w:t>
                            </w:r>
                            <w:r w:rsidRPr="00337EAC">
                              <w:rPr>
                                <w:sz w:val="22"/>
                                <w:szCs w:val="22"/>
                              </w:rPr>
                              <w:t xml:space="preserve"> due to change in MIS) for students who are disadvantaged</w:t>
                            </w:r>
                          </w:p>
                          <w:p w14:paraId="5C93A510" w14:textId="7C363EFF" w:rsidR="004F06AA" w:rsidRDefault="004F06AA"/>
                          <w:p w14:paraId="5C5E3748" w14:textId="77777777" w:rsidR="00997C45" w:rsidRDefault="00997C45"/>
                          <w:p w14:paraId="5B47732D" w14:textId="77777777" w:rsidR="00997C45" w:rsidRDefault="00997C45"/>
                          <w:p w14:paraId="145D681C" w14:textId="77777777" w:rsidR="00997C45" w:rsidRDefault="00997C45"/>
                          <w:p w14:paraId="7DC74693" w14:textId="77777777" w:rsidR="00997C45" w:rsidRDefault="00997C45"/>
                          <w:p w14:paraId="45F9F6D0" w14:textId="77777777" w:rsidR="00997C45" w:rsidRDefault="00997C45"/>
                          <w:p w14:paraId="06F4EC66" w14:textId="77777777" w:rsidR="00997C45" w:rsidRDefault="00997C45"/>
                          <w:p w14:paraId="776574C6" w14:textId="77777777" w:rsidR="00997C45" w:rsidRDefault="00997C45"/>
                          <w:p w14:paraId="00AB7700" w14:textId="77777777" w:rsidR="00997C45" w:rsidRDefault="00997C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F2DE8" id="_x0000_t202" coordsize="21600,21600" o:spt="202" path="m,l,21600r21600,l21600,xe">
                <v:stroke joinstyle="miter"/>
                <v:path gradientshapeok="t" o:connecttype="rect"/>
              </v:shapetype>
              <v:shape id="Text Box 2" o:spid="_x0000_s1026" type="#_x0000_t202" style="position:absolute;margin-left:421.45pt;margin-top:39.9pt;width:472.65pt;height:471.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">
                <v:textbox>
                  <w:txbxContent>
                    <w:p w14:paraId="6502F510" w14:textId="77777777" w:rsidR="00696CE5" w:rsidRPr="00337EAC" w:rsidRDefault="00696CE5" w:rsidP="00696CE5">
                      <w:pPr>
                        <w:spacing w:after="0"/>
                        <w:rPr>
                          <w:b/>
                          <w:bCs/>
                          <w:sz w:val="22"/>
                          <w:szCs w:val="22"/>
                        </w:rPr>
                      </w:pPr>
                      <w:r w:rsidRPr="00337EAC">
                        <w:rPr>
                          <w:b/>
                          <w:bCs/>
                          <w:sz w:val="22"/>
                          <w:szCs w:val="22"/>
                        </w:rPr>
                        <w:t xml:space="preserve">Attainment 8 </w:t>
                      </w:r>
                    </w:p>
                    <w:p w14:paraId="3D8059C1" w14:textId="77777777" w:rsidR="00696CE5" w:rsidRPr="00337EAC" w:rsidRDefault="00696CE5" w:rsidP="00696CE5">
                      <w:pPr>
                        <w:spacing w:after="0"/>
                        <w:rPr>
                          <w:sz w:val="22"/>
                          <w:szCs w:val="22"/>
                        </w:rPr>
                      </w:pPr>
                      <w:r w:rsidRPr="00337EAC">
                        <w:rPr>
                          <w:sz w:val="22"/>
                          <w:szCs w:val="22"/>
                        </w:rPr>
                        <w:t>Nationally, the average Attainment 8 for PP students improved in 2025 from an APS of 3.9</w:t>
                      </w:r>
                      <w:r>
                        <w:rPr>
                          <w:sz w:val="22"/>
                          <w:szCs w:val="22"/>
                        </w:rPr>
                        <w:t>1</w:t>
                      </w:r>
                      <w:r w:rsidRPr="00337EAC">
                        <w:rPr>
                          <w:sz w:val="22"/>
                          <w:szCs w:val="22"/>
                        </w:rPr>
                        <w:t xml:space="preserve"> to 3.9</w:t>
                      </w:r>
                      <w:r>
                        <w:rPr>
                          <w:sz w:val="22"/>
                          <w:szCs w:val="22"/>
                        </w:rPr>
                        <w:t>3</w:t>
                      </w:r>
                      <w:r w:rsidRPr="00337EAC">
                        <w:rPr>
                          <w:sz w:val="22"/>
                          <w:szCs w:val="22"/>
                        </w:rPr>
                        <w:t xml:space="preserve">. The national attainment gap stood at 13.6 points in 2018/19 to 15.3 points in 2022/23 and to 15.5 in 2023/24. The widening was caused by the disadvantaged group having a larger decrease than the non-disadvantaged group. </w:t>
                      </w:r>
                    </w:p>
                    <w:p w14:paraId="00000D05" w14:textId="77777777" w:rsidR="00696CE5" w:rsidRPr="00337EAC" w:rsidRDefault="00696CE5" w:rsidP="00696CE5">
                      <w:pPr>
                        <w:rPr>
                          <w:sz w:val="22"/>
                          <w:szCs w:val="22"/>
                        </w:rPr>
                      </w:pPr>
                      <w:r w:rsidRPr="00337EAC">
                        <w:rPr>
                          <w:sz w:val="22"/>
                          <w:szCs w:val="22"/>
                        </w:rPr>
                        <w:t xml:space="preserve">At Kingsbury Green Academy the APS for PP students in 2025 was 25.29. The gap between PP and non-PP students was 20.84 which indicates that the strategy at KS4 </w:t>
                      </w:r>
                      <w:r>
                        <w:rPr>
                          <w:sz w:val="22"/>
                          <w:szCs w:val="22"/>
                        </w:rPr>
                        <w:t>did</w:t>
                      </w:r>
                      <w:r w:rsidRPr="00337EAC">
                        <w:rPr>
                          <w:sz w:val="22"/>
                          <w:szCs w:val="22"/>
                        </w:rPr>
                        <w:t xml:space="preserve"> not ha</w:t>
                      </w:r>
                      <w:r>
                        <w:rPr>
                          <w:sz w:val="22"/>
                          <w:szCs w:val="22"/>
                        </w:rPr>
                        <w:t>ve</w:t>
                      </w:r>
                      <w:r w:rsidRPr="00337EAC">
                        <w:rPr>
                          <w:sz w:val="22"/>
                          <w:szCs w:val="22"/>
                        </w:rPr>
                        <w:t xml:space="preserve"> the desired outcomes in terms of closing the gap furthermore the </w:t>
                      </w:r>
                      <w:r>
                        <w:rPr>
                          <w:sz w:val="22"/>
                          <w:szCs w:val="22"/>
                        </w:rPr>
                        <w:t xml:space="preserve">attainment gap </w:t>
                      </w:r>
                      <w:r w:rsidRPr="00337EAC">
                        <w:rPr>
                          <w:sz w:val="22"/>
                          <w:szCs w:val="22"/>
                        </w:rPr>
                        <w:t>for PP students in both English and Maths is significant indicating further targeted work is required.</w:t>
                      </w:r>
                      <w:r>
                        <w:rPr>
                          <w:sz w:val="22"/>
                          <w:szCs w:val="22"/>
                        </w:rPr>
                        <w:t xml:space="preserve"> </w:t>
                      </w:r>
                      <w:r w:rsidRPr="00337EAC">
                        <w:rPr>
                          <w:sz w:val="22"/>
                          <w:szCs w:val="22"/>
                        </w:rPr>
                        <w:t xml:space="preserve">There were encouraging improvements in </w:t>
                      </w:r>
                      <w:r>
                        <w:rPr>
                          <w:sz w:val="22"/>
                          <w:szCs w:val="22"/>
                        </w:rPr>
                        <w:t>attainment</w:t>
                      </w:r>
                      <w:r w:rsidRPr="00337EAC">
                        <w:rPr>
                          <w:sz w:val="22"/>
                          <w:szCs w:val="22"/>
                        </w:rPr>
                        <w:t xml:space="preserve"> in the following subject areas:</w:t>
                      </w:r>
                    </w:p>
                    <w:p w14:paraId="1D002C5F"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Chemistry</w:t>
                      </w:r>
                    </w:p>
                    <w:p w14:paraId="2AB2EACB"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Physics</w:t>
                      </w:r>
                    </w:p>
                    <w:p w14:paraId="2CE62A71"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Statistics</w:t>
                      </w:r>
                    </w:p>
                    <w:p w14:paraId="14F6E97A"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Health Studies</w:t>
                      </w:r>
                    </w:p>
                    <w:p w14:paraId="5F67982D" w14:textId="77777777" w:rsidR="00696CE5" w:rsidRPr="00337EAC" w:rsidRDefault="00696CE5" w:rsidP="00696CE5">
                      <w:pPr>
                        <w:pStyle w:val="ListParagraph"/>
                        <w:numPr>
                          <w:ilvl w:val="0"/>
                          <w:numId w:val="33"/>
                        </w:numPr>
                        <w:suppressAutoHyphens w:val="0"/>
                        <w:autoSpaceDN/>
                        <w:spacing w:after="160" w:line="278" w:lineRule="auto"/>
                        <w:rPr>
                          <w:sz w:val="22"/>
                          <w:szCs w:val="22"/>
                        </w:rPr>
                      </w:pPr>
                      <w:r w:rsidRPr="00337EAC">
                        <w:rPr>
                          <w:sz w:val="22"/>
                          <w:szCs w:val="22"/>
                        </w:rPr>
                        <w:t>Multimedia</w:t>
                      </w:r>
                    </w:p>
                    <w:p w14:paraId="2445F2A8" w14:textId="77777777" w:rsidR="00696CE5" w:rsidRPr="00337EAC" w:rsidRDefault="00696CE5" w:rsidP="00696CE5">
                      <w:pPr>
                        <w:spacing w:after="0"/>
                        <w:rPr>
                          <w:b/>
                          <w:bCs/>
                          <w:sz w:val="22"/>
                          <w:szCs w:val="22"/>
                        </w:rPr>
                      </w:pPr>
                      <w:r w:rsidRPr="00337EAC">
                        <w:rPr>
                          <w:b/>
                          <w:bCs/>
                          <w:sz w:val="22"/>
                          <w:szCs w:val="22"/>
                        </w:rPr>
                        <w:t xml:space="preserve">Progress 8 </w:t>
                      </w:r>
                    </w:p>
                    <w:p w14:paraId="2A7AD79F" w14:textId="77777777" w:rsidR="00696CE5" w:rsidRDefault="00696CE5" w:rsidP="00696CE5">
                      <w:pPr>
                        <w:spacing w:after="0"/>
                        <w:rPr>
                          <w:sz w:val="22"/>
                          <w:szCs w:val="22"/>
                        </w:rPr>
                      </w:pPr>
                      <w:r>
                        <w:rPr>
                          <w:sz w:val="22"/>
                          <w:szCs w:val="22"/>
                        </w:rPr>
                        <w:t>Nationally p</w:t>
                      </w:r>
                      <w:r w:rsidRPr="00337EAC">
                        <w:rPr>
                          <w:sz w:val="22"/>
                          <w:szCs w:val="22"/>
                        </w:rPr>
                        <w:t xml:space="preserve">rogress 8 scores have not been recorded this year because of the lack of KS2 data. Internal, unverified data shows that progress for non-PP students improved to sit at +0.43 whilst the PP students’ progress score is –1.38. Work needs to be done to ensure that barriers to progress for our disadvantaged students are removed. </w:t>
                      </w:r>
                    </w:p>
                    <w:p w14:paraId="45AEB844" w14:textId="77777777" w:rsidR="00696CE5" w:rsidRPr="00337EAC" w:rsidRDefault="00696CE5" w:rsidP="00696CE5">
                      <w:pPr>
                        <w:spacing w:after="0"/>
                        <w:rPr>
                          <w:sz w:val="22"/>
                          <w:szCs w:val="22"/>
                        </w:rPr>
                      </w:pPr>
                    </w:p>
                    <w:p w14:paraId="5ADFE9CF" w14:textId="77777777" w:rsidR="00696CE5" w:rsidRPr="00337EAC" w:rsidRDefault="00696CE5" w:rsidP="00696CE5">
                      <w:pPr>
                        <w:spacing w:after="0"/>
                        <w:rPr>
                          <w:b/>
                          <w:bCs/>
                          <w:sz w:val="22"/>
                          <w:szCs w:val="22"/>
                        </w:rPr>
                      </w:pPr>
                      <w:r w:rsidRPr="00337EAC">
                        <w:rPr>
                          <w:b/>
                          <w:bCs/>
                          <w:sz w:val="22"/>
                          <w:szCs w:val="22"/>
                        </w:rPr>
                        <w:t xml:space="preserve">Attendance, Behaviour and Well-being </w:t>
                      </w:r>
                    </w:p>
                    <w:p w14:paraId="5B19939F" w14:textId="77777777" w:rsidR="00696CE5" w:rsidRDefault="00696CE5" w:rsidP="00696CE5">
                      <w:pPr>
                        <w:spacing w:after="0"/>
                        <w:rPr>
                          <w:sz w:val="22"/>
                          <w:szCs w:val="22"/>
                        </w:rPr>
                      </w:pPr>
                      <w:r w:rsidRPr="00337EAC">
                        <w:rPr>
                          <w:sz w:val="22"/>
                          <w:szCs w:val="22"/>
                        </w:rPr>
                        <w:t>The end of year attendance for our disadvantaged students was 84.67% compared to 92.07% for non-</w:t>
                      </w:r>
                      <w:r>
                        <w:rPr>
                          <w:sz w:val="22"/>
                          <w:szCs w:val="22"/>
                        </w:rPr>
                        <w:t>disadvantaged</w:t>
                      </w:r>
                      <w:r w:rsidRPr="00337EAC">
                        <w:rPr>
                          <w:sz w:val="22"/>
                          <w:szCs w:val="22"/>
                        </w:rPr>
                        <w:t xml:space="preserve"> (7.4% difference). However, attendance data improved towards the end of last year and continues to do so due to creating a </w:t>
                      </w:r>
                      <w:r>
                        <w:rPr>
                          <w:sz w:val="22"/>
                          <w:szCs w:val="22"/>
                        </w:rPr>
                        <w:t>culture</w:t>
                      </w:r>
                      <w:r w:rsidRPr="00337EAC">
                        <w:rPr>
                          <w:sz w:val="22"/>
                          <w:szCs w:val="22"/>
                        </w:rPr>
                        <w:t xml:space="preserve"> of belonging for all students as a whole school focus as well as dedicated senior staff and resources being used to ensure improvements are made.</w:t>
                      </w:r>
                    </w:p>
                    <w:p w14:paraId="0204A3FD" w14:textId="77777777" w:rsidR="00696CE5" w:rsidRPr="00337EAC" w:rsidRDefault="00696CE5" w:rsidP="00696CE5">
                      <w:pPr>
                        <w:rPr>
                          <w:sz w:val="22"/>
                          <w:szCs w:val="22"/>
                        </w:rPr>
                      </w:pPr>
                      <w:r w:rsidRPr="00337EAC">
                        <w:rPr>
                          <w:sz w:val="22"/>
                          <w:szCs w:val="22"/>
                        </w:rPr>
                        <w:t>The table below shows the percentage of negative incidents by month (from Jan to July</w:t>
                      </w:r>
                      <w:r>
                        <w:rPr>
                          <w:sz w:val="22"/>
                          <w:szCs w:val="22"/>
                        </w:rPr>
                        <w:t xml:space="preserve"> only</w:t>
                      </w:r>
                      <w:r w:rsidRPr="00337EAC">
                        <w:rPr>
                          <w:sz w:val="22"/>
                          <w:szCs w:val="22"/>
                        </w:rPr>
                        <w:t xml:space="preserve"> due to change in MIS) for students who are disadvantaged</w:t>
                      </w:r>
                    </w:p>
                    <w:p w14:paraId="5C93A510" w14:textId="7C363EFF" w:rsidR="004F06AA" w:rsidRDefault="004F06AA"/>
                    <w:p w14:paraId="5C5E3748" w14:textId="77777777" w:rsidR="00997C45" w:rsidRDefault="00997C45"/>
                    <w:p w14:paraId="5B47732D" w14:textId="77777777" w:rsidR="00997C45" w:rsidRDefault="00997C45"/>
                    <w:p w14:paraId="145D681C" w14:textId="77777777" w:rsidR="00997C45" w:rsidRDefault="00997C45"/>
                    <w:p w14:paraId="7DC74693" w14:textId="77777777" w:rsidR="00997C45" w:rsidRDefault="00997C45"/>
                    <w:p w14:paraId="45F9F6D0" w14:textId="77777777" w:rsidR="00997C45" w:rsidRDefault="00997C45"/>
                    <w:p w14:paraId="06F4EC66" w14:textId="77777777" w:rsidR="00997C45" w:rsidRDefault="00997C45"/>
                    <w:p w14:paraId="776574C6" w14:textId="77777777" w:rsidR="00997C45" w:rsidRDefault="00997C45"/>
                    <w:p w14:paraId="00AB7700" w14:textId="77777777" w:rsidR="00997C45" w:rsidRDefault="00997C45"/>
                  </w:txbxContent>
                </v:textbox>
                <w10:wrap type="square" anchorx="margin"/>
              </v:shape>
            </w:pict>
          </mc:Fallback>
        </mc:AlternateContent>
      </w:r>
      <w:r w:rsidR="002D45DD">
        <w:t>Outcomes for disadvantaged pupil</w:t>
      </w:r>
    </w:p>
    <w:tbl>
      <w:tblPr>
        <w:tblW w:w="9493" w:type="dxa"/>
        <w:tblCellMar>
          <w:top w:w="15" w:type="dxa"/>
          <w:left w:w="15" w:type="dxa"/>
          <w:bottom w:w="15" w:type="dxa"/>
          <w:right w:w="15" w:type="dxa"/>
        </w:tblCellMar>
        <w:tblLook w:val="04A0" w:firstRow="1" w:lastRow="0" w:firstColumn="1" w:lastColumn="0" w:noHBand="0" w:noVBand="1"/>
      </w:tblPr>
      <w:tblGrid>
        <w:gridCol w:w="2689"/>
        <w:gridCol w:w="6804"/>
      </w:tblGrid>
      <w:tr w:rsidR="00FB0825" w:rsidRPr="00337EAC" w14:paraId="11D9AE7D" w14:textId="77777777" w:rsidTr="001776EE">
        <w:trPr>
          <w:trHeight w:val="132"/>
        </w:trPr>
        <w:tc>
          <w:tcPr>
            <w:tcW w:w="2689" w:type="dxa"/>
            <w:tcBorders>
              <w:top w:val="single" w:sz="4" w:space="0" w:color="auto"/>
              <w:left w:val="single" w:sz="4" w:space="0" w:color="auto"/>
              <w:bottom w:val="single" w:sz="4" w:space="0" w:color="auto"/>
              <w:right w:val="single" w:sz="4" w:space="0" w:color="auto"/>
            </w:tcBorders>
            <w:noWrap/>
            <w:hideMark/>
          </w:tcPr>
          <w:p w14:paraId="3C23D98C" w14:textId="77777777" w:rsidR="00FB0825" w:rsidRPr="00337EAC" w:rsidRDefault="00FB0825">
            <w:pPr>
              <w:rPr>
                <w:b/>
                <w:bCs/>
                <w:sz w:val="22"/>
                <w:szCs w:val="22"/>
              </w:rPr>
            </w:pPr>
            <w:bookmarkStart w:id="20" w:name="_Hlk216777519"/>
            <w:r w:rsidRPr="00337EAC">
              <w:rPr>
                <w:b/>
                <w:bCs/>
                <w:sz w:val="22"/>
                <w:szCs w:val="22"/>
              </w:rPr>
              <w:t>Month</w:t>
            </w:r>
          </w:p>
        </w:tc>
        <w:tc>
          <w:tcPr>
            <w:tcW w:w="6804" w:type="dxa"/>
            <w:tcBorders>
              <w:top w:val="single" w:sz="4" w:space="0" w:color="auto"/>
              <w:bottom w:val="single" w:sz="4" w:space="0" w:color="auto"/>
              <w:right w:val="single" w:sz="4" w:space="0" w:color="auto"/>
            </w:tcBorders>
            <w:noWrap/>
            <w:hideMark/>
          </w:tcPr>
          <w:p w14:paraId="465DA6ED" w14:textId="77777777" w:rsidR="00FB0825" w:rsidRPr="00337EAC" w:rsidRDefault="00FB0825">
            <w:pPr>
              <w:rPr>
                <w:b/>
                <w:bCs/>
                <w:sz w:val="22"/>
                <w:szCs w:val="22"/>
              </w:rPr>
            </w:pPr>
            <w:r w:rsidRPr="00337EAC">
              <w:rPr>
                <w:b/>
                <w:bCs/>
                <w:sz w:val="22"/>
                <w:szCs w:val="22"/>
              </w:rPr>
              <w:t> % of incidents involving disadvantaged</w:t>
            </w:r>
            <w:r>
              <w:rPr>
                <w:b/>
                <w:bCs/>
                <w:sz w:val="22"/>
                <w:szCs w:val="22"/>
              </w:rPr>
              <w:t xml:space="preserve"> students</w:t>
            </w:r>
          </w:p>
        </w:tc>
      </w:tr>
      <w:tr w:rsidR="00FB0825" w:rsidRPr="00337EAC" w14:paraId="24B3BE2F" w14:textId="77777777" w:rsidTr="001776EE">
        <w:trPr>
          <w:trHeight w:val="132"/>
        </w:trPr>
        <w:tc>
          <w:tcPr>
            <w:tcW w:w="2689" w:type="dxa"/>
            <w:tcBorders>
              <w:left w:val="single" w:sz="4" w:space="0" w:color="auto"/>
              <w:bottom w:val="single" w:sz="4" w:space="0" w:color="auto"/>
              <w:right w:val="single" w:sz="4" w:space="0" w:color="auto"/>
            </w:tcBorders>
            <w:noWrap/>
            <w:hideMark/>
          </w:tcPr>
          <w:p w14:paraId="6707A376" w14:textId="77777777" w:rsidR="00FB0825" w:rsidRPr="00337EAC" w:rsidRDefault="00FB0825">
            <w:pPr>
              <w:rPr>
                <w:sz w:val="22"/>
                <w:szCs w:val="22"/>
              </w:rPr>
            </w:pPr>
            <w:r w:rsidRPr="00337EAC">
              <w:rPr>
                <w:sz w:val="22"/>
                <w:szCs w:val="22"/>
              </w:rPr>
              <w:t>January</w:t>
            </w:r>
          </w:p>
        </w:tc>
        <w:tc>
          <w:tcPr>
            <w:tcW w:w="6804" w:type="dxa"/>
            <w:tcBorders>
              <w:bottom w:val="single" w:sz="4" w:space="0" w:color="auto"/>
              <w:right w:val="single" w:sz="4" w:space="0" w:color="auto"/>
            </w:tcBorders>
            <w:noWrap/>
            <w:hideMark/>
          </w:tcPr>
          <w:p w14:paraId="2B16CC98" w14:textId="77777777" w:rsidR="00FB0825" w:rsidRPr="00337EAC" w:rsidRDefault="00FB0825">
            <w:pPr>
              <w:rPr>
                <w:sz w:val="22"/>
                <w:szCs w:val="22"/>
              </w:rPr>
            </w:pPr>
            <w:r w:rsidRPr="00337EAC">
              <w:rPr>
                <w:sz w:val="22"/>
                <w:szCs w:val="22"/>
              </w:rPr>
              <w:t>43%</w:t>
            </w:r>
          </w:p>
        </w:tc>
      </w:tr>
      <w:tr w:rsidR="00FB0825" w:rsidRPr="00337EAC" w14:paraId="323957F0" w14:textId="77777777" w:rsidTr="001776EE">
        <w:trPr>
          <w:trHeight w:val="132"/>
        </w:trPr>
        <w:tc>
          <w:tcPr>
            <w:tcW w:w="2689" w:type="dxa"/>
            <w:tcBorders>
              <w:left w:val="single" w:sz="4" w:space="0" w:color="auto"/>
              <w:bottom w:val="single" w:sz="4" w:space="0" w:color="auto"/>
              <w:right w:val="single" w:sz="4" w:space="0" w:color="auto"/>
            </w:tcBorders>
            <w:noWrap/>
            <w:hideMark/>
          </w:tcPr>
          <w:p w14:paraId="1E93D82F" w14:textId="77777777" w:rsidR="00FB0825" w:rsidRPr="00337EAC" w:rsidRDefault="00FB0825">
            <w:pPr>
              <w:rPr>
                <w:sz w:val="22"/>
                <w:szCs w:val="22"/>
              </w:rPr>
            </w:pPr>
            <w:r w:rsidRPr="00337EAC">
              <w:rPr>
                <w:sz w:val="22"/>
                <w:szCs w:val="22"/>
              </w:rPr>
              <w:t>February</w:t>
            </w:r>
          </w:p>
        </w:tc>
        <w:tc>
          <w:tcPr>
            <w:tcW w:w="6804" w:type="dxa"/>
            <w:tcBorders>
              <w:bottom w:val="single" w:sz="4" w:space="0" w:color="auto"/>
              <w:right w:val="single" w:sz="4" w:space="0" w:color="auto"/>
            </w:tcBorders>
            <w:noWrap/>
            <w:hideMark/>
          </w:tcPr>
          <w:p w14:paraId="28D94503" w14:textId="77777777" w:rsidR="00FB0825" w:rsidRPr="00337EAC" w:rsidRDefault="00FB0825">
            <w:pPr>
              <w:rPr>
                <w:sz w:val="22"/>
                <w:szCs w:val="22"/>
              </w:rPr>
            </w:pPr>
            <w:r w:rsidRPr="00337EAC">
              <w:rPr>
                <w:sz w:val="22"/>
                <w:szCs w:val="22"/>
              </w:rPr>
              <w:t>39%</w:t>
            </w:r>
          </w:p>
        </w:tc>
      </w:tr>
      <w:tr w:rsidR="00FB0825" w:rsidRPr="00337EAC" w14:paraId="2DFEF107" w14:textId="77777777" w:rsidTr="001776EE">
        <w:trPr>
          <w:trHeight w:val="132"/>
        </w:trPr>
        <w:tc>
          <w:tcPr>
            <w:tcW w:w="2689" w:type="dxa"/>
            <w:tcBorders>
              <w:left w:val="single" w:sz="4" w:space="0" w:color="auto"/>
              <w:bottom w:val="single" w:sz="4" w:space="0" w:color="auto"/>
              <w:right w:val="single" w:sz="4" w:space="0" w:color="auto"/>
            </w:tcBorders>
            <w:noWrap/>
            <w:hideMark/>
          </w:tcPr>
          <w:p w14:paraId="5CEF4F7A" w14:textId="77777777" w:rsidR="00FB0825" w:rsidRPr="00337EAC" w:rsidRDefault="00FB0825">
            <w:pPr>
              <w:rPr>
                <w:sz w:val="22"/>
                <w:szCs w:val="22"/>
              </w:rPr>
            </w:pPr>
            <w:r w:rsidRPr="00337EAC">
              <w:rPr>
                <w:sz w:val="22"/>
                <w:szCs w:val="22"/>
              </w:rPr>
              <w:t>March</w:t>
            </w:r>
          </w:p>
        </w:tc>
        <w:tc>
          <w:tcPr>
            <w:tcW w:w="6804" w:type="dxa"/>
            <w:tcBorders>
              <w:bottom w:val="single" w:sz="4" w:space="0" w:color="auto"/>
              <w:right w:val="single" w:sz="4" w:space="0" w:color="auto"/>
            </w:tcBorders>
            <w:noWrap/>
            <w:hideMark/>
          </w:tcPr>
          <w:p w14:paraId="63C8EB7C" w14:textId="77777777" w:rsidR="00FB0825" w:rsidRPr="00337EAC" w:rsidRDefault="00FB0825">
            <w:pPr>
              <w:rPr>
                <w:sz w:val="22"/>
                <w:szCs w:val="22"/>
              </w:rPr>
            </w:pPr>
            <w:r w:rsidRPr="00337EAC">
              <w:rPr>
                <w:sz w:val="22"/>
                <w:szCs w:val="22"/>
              </w:rPr>
              <w:t>37%</w:t>
            </w:r>
          </w:p>
        </w:tc>
      </w:tr>
      <w:tr w:rsidR="00FB0825" w:rsidRPr="00337EAC" w14:paraId="2DE88822" w14:textId="77777777" w:rsidTr="001776EE">
        <w:trPr>
          <w:trHeight w:val="132"/>
        </w:trPr>
        <w:tc>
          <w:tcPr>
            <w:tcW w:w="2689" w:type="dxa"/>
            <w:tcBorders>
              <w:left w:val="single" w:sz="4" w:space="0" w:color="auto"/>
              <w:bottom w:val="single" w:sz="4" w:space="0" w:color="auto"/>
              <w:right w:val="single" w:sz="4" w:space="0" w:color="auto"/>
            </w:tcBorders>
            <w:noWrap/>
            <w:hideMark/>
          </w:tcPr>
          <w:p w14:paraId="2871727C" w14:textId="77777777" w:rsidR="00FB0825" w:rsidRPr="00337EAC" w:rsidRDefault="00FB0825">
            <w:pPr>
              <w:rPr>
                <w:sz w:val="22"/>
                <w:szCs w:val="22"/>
              </w:rPr>
            </w:pPr>
            <w:r w:rsidRPr="00337EAC">
              <w:rPr>
                <w:sz w:val="22"/>
                <w:szCs w:val="22"/>
              </w:rPr>
              <w:t>April</w:t>
            </w:r>
          </w:p>
        </w:tc>
        <w:tc>
          <w:tcPr>
            <w:tcW w:w="6804" w:type="dxa"/>
            <w:tcBorders>
              <w:bottom w:val="single" w:sz="4" w:space="0" w:color="auto"/>
              <w:right w:val="single" w:sz="4" w:space="0" w:color="auto"/>
            </w:tcBorders>
            <w:noWrap/>
            <w:hideMark/>
          </w:tcPr>
          <w:p w14:paraId="2341C9D4" w14:textId="77777777" w:rsidR="00FB0825" w:rsidRPr="00337EAC" w:rsidRDefault="00FB0825">
            <w:pPr>
              <w:rPr>
                <w:sz w:val="22"/>
                <w:szCs w:val="22"/>
              </w:rPr>
            </w:pPr>
            <w:r w:rsidRPr="00337EAC">
              <w:rPr>
                <w:sz w:val="22"/>
                <w:szCs w:val="22"/>
              </w:rPr>
              <w:t>41%</w:t>
            </w:r>
          </w:p>
        </w:tc>
      </w:tr>
      <w:tr w:rsidR="00FB0825" w:rsidRPr="00337EAC" w14:paraId="08F09BDC" w14:textId="77777777" w:rsidTr="001776EE">
        <w:trPr>
          <w:trHeight w:val="132"/>
        </w:trPr>
        <w:tc>
          <w:tcPr>
            <w:tcW w:w="2689" w:type="dxa"/>
            <w:tcBorders>
              <w:left w:val="single" w:sz="4" w:space="0" w:color="auto"/>
              <w:bottom w:val="single" w:sz="4" w:space="0" w:color="auto"/>
              <w:right w:val="single" w:sz="4" w:space="0" w:color="auto"/>
            </w:tcBorders>
            <w:noWrap/>
            <w:hideMark/>
          </w:tcPr>
          <w:p w14:paraId="4CBB4A15" w14:textId="77777777" w:rsidR="00FB0825" w:rsidRPr="00337EAC" w:rsidRDefault="00FB0825">
            <w:pPr>
              <w:rPr>
                <w:sz w:val="22"/>
                <w:szCs w:val="22"/>
              </w:rPr>
            </w:pPr>
            <w:r w:rsidRPr="00337EAC">
              <w:rPr>
                <w:sz w:val="22"/>
                <w:szCs w:val="22"/>
              </w:rPr>
              <w:t>May</w:t>
            </w:r>
          </w:p>
        </w:tc>
        <w:tc>
          <w:tcPr>
            <w:tcW w:w="6804" w:type="dxa"/>
            <w:tcBorders>
              <w:bottom w:val="single" w:sz="4" w:space="0" w:color="auto"/>
              <w:right w:val="single" w:sz="4" w:space="0" w:color="auto"/>
            </w:tcBorders>
            <w:noWrap/>
            <w:hideMark/>
          </w:tcPr>
          <w:p w14:paraId="4815D747" w14:textId="77777777" w:rsidR="00FB0825" w:rsidRPr="00337EAC" w:rsidRDefault="00FB0825">
            <w:pPr>
              <w:rPr>
                <w:sz w:val="22"/>
                <w:szCs w:val="22"/>
              </w:rPr>
            </w:pPr>
            <w:r w:rsidRPr="00337EAC">
              <w:rPr>
                <w:sz w:val="22"/>
                <w:szCs w:val="22"/>
              </w:rPr>
              <w:t>42%</w:t>
            </w:r>
          </w:p>
        </w:tc>
      </w:tr>
      <w:tr w:rsidR="00FB0825" w:rsidRPr="00337EAC" w14:paraId="6D763F7B" w14:textId="77777777" w:rsidTr="001776EE">
        <w:trPr>
          <w:trHeight w:val="132"/>
        </w:trPr>
        <w:tc>
          <w:tcPr>
            <w:tcW w:w="2689" w:type="dxa"/>
            <w:tcBorders>
              <w:left w:val="single" w:sz="4" w:space="0" w:color="auto"/>
              <w:bottom w:val="single" w:sz="4" w:space="0" w:color="auto"/>
              <w:right w:val="single" w:sz="4" w:space="0" w:color="auto"/>
            </w:tcBorders>
            <w:noWrap/>
            <w:hideMark/>
          </w:tcPr>
          <w:p w14:paraId="1197EAF7" w14:textId="77777777" w:rsidR="00FB0825" w:rsidRPr="00337EAC" w:rsidRDefault="00FB0825">
            <w:pPr>
              <w:rPr>
                <w:sz w:val="22"/>
                <w:szCs w:val="22"/>
              </w:rPr>
            </w:pPr>
            <w:r w:rsidRPr="00337EAC">
              <w:rPr>
                <w:sz w:val="22"/>
                <w:szCs w:val="22"/>
              </w:rPr>
              <w:lastRenderedPageBreak/>
              <w:t>June</w:t>
            </w:r>
          </w:p>
        </w:tc>
        <w:tc>
          <w:tcPr>
            <w:tcW w:w="6804" w:type="dxa"/>
            <w:tcBorders>
              <w:bottom w:val="single" w:sz="4" w:space="0" w:color="auto"/>
              <w:right w:val="single" w:sz="4" w:space="0" w:color="auto"/>
            </w:tcBorders>
            <w:noWrap/>
            <w:hideMark/>
          </w:tcPr>
          <w:p w14:paraId="0C1DC75F" w14:textId="77777777" w:rsidR="00FB0825" w:rsidRPr="00337EAC" w:rsidRDefault="00FB0825">
            <w:pPr>
              <w:rPr>
                <w:sz w:val="22"/>
                <w:szCs w:val="22"/>
              </w:rPr>
            </w:pPr>
            <w:r w:rsidRPr="00337EAC">
              <w:rPr>
                <w:sz w:val="22"/>
                <w:szCs w:val="22"/>
              </w:rPr>
              <w:t>46%</w:t>
            </w:r>
          </w:p>
        </w:tc>
      </w:tr>
      <w:tr w:rsidR="00FB0825" w:rsidRPr="00337EAC" w14:paraId="18019687" w14:textId="77777777" w:rsidTr="001776EE">
        <w:trPr>
          <w:trHeight w:val="395"/>
        </w:trPr>
        <w:tc>
          <w:tcPr>
            <w:tcW w:w="2689" w:type="dxa"/>
            <w:tcBorders>
              <w:left w:val="single" w:sz="4" w:space="0" w:color="auto"/>
              <w:bottom w:val="single" w:sz="4" w:space="0" w:color="auto"/>
              <w:right w:val="single" w:sz="4" w:space="0" w:color="auto"/>
            </w:tcBorders>
            <w:noWrap/>
            <w:hideMark/>
          </w:tcPr>
          <w:p w14:paraId="6C6E45D2" w14:textId="77777777" w:rsidR="00FB0825" w:rsidRPr="00337EAC" w:rsidRDefault="00FB0825">
            <w:pPr>
              <w:rPr>
                <w:sz w:val="22"/>
                <w:szCs w:val="22"/>
              </w:rPr>
            </w:pPr>
            <w:r w:rsidRPr="00337EAC">
              <w:rPr>
                <w:sz w:val="22"/>
                <w:szCs w:val="22"/>
              </w:rPr>
              <w:t>July</w:t>
            </w:r>
          </w:p>
        </w:tc>
        <w:tc>
          <w:tcPr>
            <w:tcW w:w="6804" w:type="dxa"/>
            <w:tcBorders>
              <w:bottom w:val="single" w:sz="4" w:space="0" w:color="auto"/>
              <w:right w:val="single" w:sz="4" w:space="0" w:color="auto"/>
            </w:tcBorders>
            <w:noWrap/>
            <w:hideMark/>
          </w:tcPr>
          <w:p w14:paraId="5D79781B" w14:textId="77777777" w:rsidR="00FB0825" w:rsidRPr="00337EAC" w:rsidRDefault="00FB0825">
            <w:pPr>
              <w:rPr>
                <w:sz w:val="22"/>
                <w:szCs w:val="22"/>
              </w:rPr>
            </w:pPr>
            <w:r w:rsidRPr="00337EAC">
              <w:rPr>
                <w:sz w:val="22"/>
                <w:szCs w:val="22"/>
              </w:rPr>
              <w:t>45%</w:t>
            </w:r>
          </w:p>
        </w:tc>
      </w:tr>
    </w:tbl>
    <w:bookmarkEnd w:id="20"/>
    <w:p w14:paraId="38C10387" w14:textId="6373CDDF" w:rsidR="00FB0825" w:rsidRPr="004F06AA" w:rsidRDefault="00BB6B67" w:rsidP="004F06AA">
      <w:r>
        <w:rPr>
          <w:noProof/>
        </w:rPr>
        <mc:AlternateContent>
          <mc:Choice Requires="wps">
            <w:drawing>
              <wp:anchor distT="45720" distB="45720" distL="114300" distR="114300" simplePos="0" relativeHeight="251658242" behindDoc="0" locked="0" layoutInCell="1" allowOverlap="1" wp14:anchorId="6CADD05B" wp14:editId="48CADF26">
                <wp:simplePos x="0" y="0"/>
                <wp:positionH relativeFrom="margin">
                  <wp:align>right</wp:align>
                </wp:positionH>
                <wp:positionV relativeFrom="paragraph">
                  <wp:posOffset>5621655</wp:posOffset>
                </wp:positionV>
                <wp:extent cx="6018530" cy="2512060"/>
                <wp:effectExtent l="0" t="0" r="20320" b="21590"/>
                <wp:wrapSquare wrapText="bothSides"/>
                <wp:docPr id="1766324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2512612"/>
                        </a:xfrm>
                        <a:prstGeom prst="rect">
                          <a:avLst/>
                        </a:prstGeom>
                        <a:solidFill>
                          <a:srgbClr val="FFFFFF"/>
                        </a:solidFill>
                        <a:ln w="9525">
                          <a:solidFill>
                            <a:srgbClr val="000000"/>
                          </a:solidFill>
                          <a:miter lim="800000"/>
                          <a:headEnd/>
                          <a:tailEnd/>
                        </a:ln>
                      </wps:spPr>
                      <wps:txbx>
                        <w:txbxContent>
                          <w:p w14:paraId="70F28E6D" w14:textId="77777777" w:rsidR="00BB6B67" w:rsidRPr="00337EAC" w:rsidRDefault="00BB6B67" w:rsidP="00BB6B67">
                            <w:pPr>
                              <w:spacing w:after="0"/>
                              <w:rPr>
                                <w:b/>
                                <w:bCs/>
                                <w:sz w:val="22"/>
                                <w:szCs w:val="22"/>
                              </w:rPr>
                            </w:pPr>
                            <w:r w:rsidRPr="00337EAC">
                              <w:rPr>
                                <w:b/>
                                <w:bCs/>
                                <w:sz w:val="22"/>
                                <w:szCs w:val="22"/>
                              </w:rPr>
                              <w:t xml:space="preserve">Outline of progress of current strategy </w:t>
                            </w:r>
                          </w:p>
                          <w:p w14:paraId="244EE1C3" w14:textId="77777777" w:rsidR="00BB6B67" w:rsidRPr="00337EAC" w:rsidRDefault="00BB6B67" w:rsidP="00BB6B67">
                            <w:pPr>
                              <w:spacing w:after="0"/>
                              <w:rPr>
                                <w:sz w:val="22"/>
                                <w:szCs w:val="22"/>
                              </w:rPr>
                            </w:pPr>
                            <w:r w:rsidRPr="00337EAC">
                              <w:rPr>
                                <w:sz w:val="22"/>
                                <w:szCs w:val="22"/>
                              </w:rPr>
                              <w:t>Although the overall outcomes data and the attendance figure this summer are not where we would want them to be, there is a renewed focus on removing barriers to learning for our disadvantaged students and therefore we are starting to make good progress towards achieving our intended outcomes.</w:t>
                            </w:r>
                            <w:r>
                              <w:rPr>
                                <w:sz w:val="22"/>
                                <w:szCs w:val="22"/>
                              </w:rPr>
                              <w:t xml:space="preserve"> </w:t>
                            </w:r>
                            <w:r w:rsidRPr="00337EAC">
                              <w:rPr>
                                <w:sz w:val="22"/>
                                <w:szCs w:val="22"/>
                              </w:rPr>
                              <w:t>This was noted in our most recent quality assurance review that took place in November</w:t>
                            </w:r>
                          </w:p>
                          <w:p w14:paraId="0137BA8E" w14:textId="77777777" w:rsidR="00BB6B67" w:rsidRPr="00337EAC" w:rsidRDefault="00BB6B67" w:rsidP="00BB6B67">
                            <w:pPr>
                              <w:spacing w:after="0"/>
                              <w:jc w:val="center"/>
                              <w:rPr>
                                <w:b/>
                                <w:bCs/>
                                <w:i/>
                                <w:iCs/>
                                <w:sz w:val="22"/>
                                <w:szCs w:val="22"/>
                              </w:rPr>
                            </w:pPr>
                          </w:p>
                          <w:p w14:paraId="51FC7C5A" w14:textId="77777777" w:rsidR="00BB6B67" w:rsidRPr="00337EAC" w:rsidRDefault="00BB6B67" w:rsidP="00BB6B67">
                            <w:pPr>
                              <w:spacing w:after="0"/>
                              <w:jc w:val="center"/>
                              <w:rPr>
                                <w:b/>
                                <w:bCs/>
                                <w:i/>
                                <w:iCs/>
                                <w:sz w:val="22"/>
                                <w:szCs w:val="22"/>
                              </w:rPr>
                            </w:pPr>
                            <w:r w:rsidRPr="00337EAC">
                              <w:rPr>
                                <w:b/>
                                <w:bCs/>
                                <w:i/>
                                <w:iCs/>
                                <w:sz w:val="22"/>
                                <w:szCs w:val="22"/>
                              </w:rPr>
                              <w:t>The relationships between students and staff are very positive – it is evident that staff care deeply that all students, including the most vulnerable, should benefit fully from their intended curriculum. – (QA review November 2025)</w:t>
                            </w:r>
                          </w:p>
                          <w:p w14:paraId="5B59F15E" w14:textId="2BCC245F" w:rsidR="001776EE" w:rsidRDefault="001776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DD05B" id="_x0000_s1027" type="#_x0000_t202" style="position:absolute;margin-left:422.7pt;margin-top:442.65pt;width:473.9pt;height:197.8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">
                <v:textbox>
                  <w:txbxContent>
                    <w:p w14:paraId="70F28E6D" w14:textId="77777777" w:rsidR="00BB6B67" w:rsidRPr="00337EAC" w:rsidRDefault="00BB6B67" w:rsidP="00BB6B67">
                      <w:pPr>
                        <w:spacing w:after="0"/>
                        <w:rPr>
                          <w:b/>
                          <w:bCs/>
                          <w:sz w:val="22"/>
                          <w:szCs w:val="22"/>
                        </w:rPr>
                      </w:pPr>
                      <w:r w:rsidRPr="00337EAC">
                        <w:rPr>
                          <w:b/>
                          <w:bCs/>
                          <w:sz w:val="22"/>
                          <w:szCs w:val="22"/>
                        </w:rPr>
                        <w:t xml:space="preserve">Outline of progress of current strategy </w:t>
                      </w:r>
                    </w:p>
                    <w:p w14:paraId="244EE1C3" w14:textId="77777777" w:rsidR="00BB6B67" w:rsidRPr="00337EAC" w:rsidRDefault="00BB6B67" w:rsidP="00BB6B67">
                      <w:pPr>
                        <w:spacing w:after="0"/>
                        <w:rPr>
                          <w:sz w:val="22"/>
                          <w:szCs w:val="22"/>
                        </w:rPr>
                      </w:pPr>
                      <w:r w:rsidRPr="00337EAC">
                        <w:rPr>
                          <w:sz w:val="22"/>
                          <w:szCs w:val="22"/>
                        </w:rPr>
                        <w:t>Although the overall outcomes data and the attendance figure this summer are not where we would want them to be, there is a renewed focus on removing barriers to learning for our disadvantaged students and therefore we are starting to make good progress towards achieving our intended outcomes.</w:t>
                      </w:r>
                      <w:r>
                        <w:rPr>
                          <w:sz w:val="22"/>
                          <w:szCs w:val="22"/>
                        </w:rPr>
                        <w:t xml:space="preserve"> </w:t>
                      </w:r>
                      <w:r w:rsidRPr="00337EAC">
                        <w:rPr>
                          <w:sz w:val="22"/>
                          <w:szCs w:val="22"/>
                        </w:rPr>
                        <w:t>This was noted in our most recent quality assurance review that took place in November</w:t>
                      </w:r>
                    </w:p>
                    <w:p w14:paraId="0137BA8E" w14:textId="77777777" w:rsidR="00BB6B67" w:rsidRPr="00337EAC" w:rsidRDefault="00BB6B67" w:rsidP="00BB6B67">
                      <w:pPr>
                        <w:spacing w:after="0"/>
                        <w:jc w:val="center"/>
                        <w:rPr>
                          <w:b/>
                          <w:bCs/>
                          <w:i/>
                          <w:iCs/>
                          <w:sz w:val="22"/>
                          <w:szCs w:val="22"/>
                        </w:rPr>
                      </w:pPr>
                    </w:p>
                    <w:p w14:paraId="51FC7C5A" w14:textId="77777777" w:rsidR="00BB6B67" w:rsidRPr="00337EAC" w:rsidRDefault="00BB6B67" w:rsidP="00BB6B67">
                      <w:pPr>
                        <w:spacing w:after="0"/>
                        <w:jc w:val="center"/>
                        <w:rPr>
                          <w:b/>
                          <w:bCs/>
                          <w:i/>
                          <w:iCs/>
                          <w:sz w:val="22"/>
                          <w:szCs w:val="22"/>
                        </w:rPr>
                      </w:pPr>
                      <w:r w:rsidRPr="00337EAC">
                        <w:rPr>
                          <w:b/>
                          <w:bCs/>
                          <w:i/>
                          <w:iCs/>
                          <w:sz w:val="22"/>
                          <w:szCs w:val="22"/>
                        </w:rPr>
                        <w:t>The relationships between students and staff are very positive – it is evident that staff care deeply that all students, including the most vulnerable, should benefit fully from their intended curriculum. – (QA review November 2025)</w:t>
                      </w:r>
                    </w:p>
                    <w:p w14:paraId="5B59F15E" w14:textId="2BCC245F" w:rsidR="001776EE" w:rsidRDefault="001776EE"/>
                  </w:txbxContent>
                </v:textbox>
                <w10:wrap type="square" anchorx="margin"/>
              </v:shape>
            </w:pict>
          </mc:Fallback>
        </mc:AlternateContent>
      </w:r>
      <w:r w:rsidR="001776EE">
        <w:rPr>
          <w:noProof/>
        </w:rPr>
        <mc:AlternateContent>
          <mc:Choice Requires="wps">
            <w:drawing>
              <wp:anchor distT="45720" distB="45720" distL="114300" distR="114300" simplePos="0" relativeHeight="251658241" behindDoc="0" locked="0" layoutInCell="1" allowOverlap="1" wp14:anchorId="0B71C8C0" wp14:editId="1E24C95A">
                <wp:simplePos x="0" y="0"/>
                <wp:positionH relativeFrom="margin">
                  <wp:align>left</wp:align>
                </wp:positionH>
                <wp:positionV relativeFrom="paragraph">
                  <wp:posOffset>174625</wp:posOffset>
                </wp:positionV>
                <wp:extent cx="6042660" cy="5335270"/>
                <wp:effectExtent l="0" t="0" r="15240" b="17780"/>
                <wp:wrapSquare wrapText="bothSides"/>
                <wp:docPr id="884968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5335326"/>
                        </a:xfrm>
                        <a:prstGeom prst="rect">
                          <a:avLst/>
                        </a:prstGeom>
                        <a:solidFill>
                          <a:srgbClr val="FFFFFF"/>
                        </a:solidFill>
                        <a:ln w="9525">
                          <a:solidFill>
                            <a:srgbClr val="000000"/>
                          </a:solidFill>
                          <a:miter lim="800000"/>
                          <a:headEnd/>
                          <a:tailEnd/>
                        </a:ln>
                      </wps:spPr>
                      <wps:txbx>
                        <w:txbxContent>
                          <w:p w14:paraId="5CE71F5D" w14:textId="77777777" w:rsidR="001776EE" w:rsidRPr="00337EAC" w:rsidRDefault="001776EE" w:rsidP="001776EE">
                            <w:pPr>
                              <w:rPr>
                                <w:sz w:val="22"/>
                                <w:szCs w:val="22"/>
                              </w:rPr>
                            </w:pPr>
                            <w:r w:rsidRPr="00AB3107">
                              <w:rPr>
                                <w:b/>
                                <w:sz w:val="22"/>
                                <w:szCs w:val="22"/>
                              </w:rPr>
                              <w:t>Homework</w:t>
                            </w:r>
                            <w:r w:rsidRPr="00337EAC">
                              <w:rPr>
                                <w:sz w:val="22"/>
                                <w:szCs w:val="22"/>
                              </w:rPr>
                              <w:t xml:space="preserve"> not being completed accrued the largest number of negative points for the whole school only </w:t>
                            </w:r>
                            <w:r w:rsidRPr="00AB3107">
                              <w:rPr>
                                <w:b/>
                                <w:sz w:val="22"/>
                                <w:szCs w:val="22"/>
                              </w:rPr>
                              <w:t>34% of these incidents</w:t>
                            </w:r>
                            <w:r w:rsidRPr="00337EAC">
                              <w:rPr>
                                <w:sz w:val="22"/>
                                <w:szCs w:val="22"/>
                              </w:rPr>
                              <w:t xml:space="preserve"> were for disadvantaged students. Furthermore, there are no specific categories within this data that stand out as being significantly disproportionally attributed to disadvantaged students.</w:t>
                            </w:r>
                          </w:p>
                          <w:p w14:paraId="29AB2AF9" w14:textId="77777777" w:rsidR="001776EE" w:rsidRPr="00337EAC" w:rsidRDefault="001776EE" w:rsidP="001776EE">
                            <w:pPr>
                              <w:rPr>
                                <w:sz w:val="22"/>
                                <w:szCs w:val="22"/>
                              </w:rPr>
                            </w:pPr>
                            <w:r w:rsidRPr="00337EAC">
                              <w:rPr>
                                <w:sz w:val="22"/>
                                <w:szCs w:val="22"/>
                              </w:rPr>
                              <w:t xml:space="preserve">Further work commenced during the summer term of last year around our students and families’ attitudes to school and education. A restructure and adding additional capacity within the pastoral team has ensured that we can improve even further our disadvantaged student’s attitudes to learning and aspiration. </w:t>
                            </w:r>
                          </w:p>
                          <w:p w14:paraId="269C536C" w14:textId="77777777" w:rsidR="001776EE" w:rsidRPr="00337EAC" w:rsidRDefault="001776EE" w:rsidP="001776EE">
                            <w:pPr>
                              <w:spacing w:after="0"/>
                              <w:rPr>
                                <w:b/>
                                <w:bCs/>
                                <w:sz w:val="22"/>
                                <w:szCs w:val="22"/>
                              </w:rPr>
                            </w:pPr>
                            <w:r w:rsidRPr="00337EAC">
                              <w:rPr>
                                <w:b/>
                                <w:bCs/>
                                <w:sz w:val="22"/>
                                <w:szCs w:val="22"/>
                              </w:rPr>
                              <w:t>Learning mentor</w:t>
                            </w:r>
                          </w:p>
                          <w:p w14:paraId="56391C37" w14:textId="77777777" w:rsidR="001776EE" w:rsidRPr="00337EAC" w:rsidRDefault="001776EE" w:rsidP="001776EE">
                            <w:pPr>
                              <w:spacing w:after="0"/>
                              <w:rPr>
                                <w:sz w:val="22"/>
                                <w:szCs w:val="22"/>
                              </w:rPr>
                            </w:pPr>
                            <w:r w:rsidRPr="00337EAC">
                              <w:rPr>
                                <w:sz w:val="22"/>
                                <w:szCs w:val="22"/>
                              </w:rPr>
                              <w:t>Employment of a part time learning mentor, has had significant impact on student’s engagement and progress especially at KS3, the data below is taken from an impact survey completed with the students in June 2025</w:t>
                            </w:r>
                          </w:p>
                          <w:p w14:paraId="67FC5CD8" w14:textId="77777777" w:rsidR="001776EE" w:rsidRPr="00337EAC" w:rsidRDefault="001776EE" w:rsidP="001776EE">
                            <w:pPr>
                              <w:pStyle w:val="ListParagraph"/>
                              <w:numPr>
                                <w:ilvl w:val="0"/>
                                <w:numId w:val="34"/>
                              </w:numPr>
                              <w:suppressAutoHyphens w:val="0"/>
                              <w:autoSpaceDN/>
                              <w:spacing w:after="0" w:line="240" w:lineRule="auto"/>
                              <w:rPr>
                                <w:sz w:val="22"/>
                                <w:szCs w:val="22"/>
                              </w:rPr>
                            </w:pPr>
                            <w:r w:rsidRPr="004F0876">
                              <w:rPr>
                                <w:b/>
                                <w:sz w:val="22"/>
                                <w:szCs w:val="22"/>
                              </w:rPr>
                              <w:t>94%</w:t>
                            </w:r>
                            <w:r w:rsidRPr="00337EAC">
                              <w:rPr>
                                <w:sz w:val="22"/>
                                <w:szCs w:val="22"/>
                              </w:rPr>
                              <w:t xml:space="preserve"> of those working with the learning mentor have said it has helped </w:t>
                            </w:r>
                            <w:r w:rsidRPr="004F0876">
                              <w:rPr>
                                <w:b/>
                                <w:sz w:val="22"/>
                                <w:szCs w:val="22"/>
                              </w:rPr>
                              <w:t>improve behaviour</w:t>
                            </w:r>
                            <w:r w:rsidRPr="00337EAC">
                              <w:rPr>
                                <w:sz w:val="22"/>
                                <w:szCs w:val="22"/>
                              </w:rPr>
                              <w:t>.</w:t>
                            </w:r>
                          </w:p>
                          <w:p w14:paraId="5782B5C4" w14:textId="77777777" w:rsidR="001776EE" w:rsidRPr="00337EAC" w:rsidRDefault="001776EE" w:rsidP="001776EE">
                            <w:pPr>
                              <w:pStyle w:val="ListParagraph"/>
                              <w:numPr>
                                <w:ilvl w:val="0"/>
                                <w:numId w:val="34"/>
                              </w:numPr>
                              <w:suppressAutoHyphens w:val="0"/>
                              <w:autoSpaceDN/>
                              <w:spacing w:after="0" w:line="240" w:lineRule="auto"/>
                              <w:rPr>
                                <w:sz w:val="22"/>
                                <w:szCs w:val="22"/>
                              </w:rPr>
                            </w:pPr>
                            <w:r w:rsidRPr="00337EAC">
                              <w:rPr>
                                <w:sz w:val="22"/>
                                <w:szCs w:val="22"/>
                              </w:rPr>
                              <w:t>83% of those working with the learning mentor have said it has helped improve attendance.</w:t>
                            </w:r>
                          </w:p>
                          <w:p w14:paraId="4C83FE3D" w14:textId="77777777" w:rsidR="001776EE" w:rsidRPr="00337EAC" w:rsidRDefault="001776EE" w:rsidP="001776EE">
                            <w:pPr>
                              <w:pStyle w:val="ListParagraph"/>
                              <w:numPr>
                                <w:ilvl w:val="0"/>
                                <w:numId w:val="34"/>
                              </w:numPr>
                              <w:suppressAutoHyphens w:val="0"/>
                              <w:autoSpaceDN/>
                              <w:spacing w:after="0" w:line="240" w:lineRule="auto"/>
                              <w:rPr>
                                <w:sz w:val="22"/>
                                <w:szCs w:val="22"/>
                              </w:rPr>
                            </w:pPr>
                            <w:r w:rsidRPr="00337EAC">
                              <w:rPr>
                                <w:sz w:val="22"/>
                                <w:szCs w:val="22"/>
                              </w:rPr>
                              <w:t>78% of those working with the learning mentor have said it has helped improve confidence.</w:t>
                            </w:r>
                          </w:p>
                          <w:p w14:paraId="7EBD426C" w14:textId="77777777" w:rsidR="001776EE" w:rsidRDefault="001776EE" w:rsidP="001776EE">
                            <w:pPr>
                              <w:pStyle w:val="ListParagraph"/>
                              <w:numPr>
                                <w:ilvl w:val="0"/>
                                <w:numId w:val="34"/>
                              </w:numPr>
                              <w:suppressAutoHyphens w:val="0"/>
                              <w:autoSpaceDN/>
                              <w:spacing w:after="0" w:line="240" w:lineRule="auto"/>
                              <w:rPr>
                                <w:sz w:val="22"/>
                                <w:szCs w:val="22"/>
                              </w:rPr>
                            </w:pPr>
                            <w:r w:rsidRPr="004F0876">
                              <w:rPr>
                                <w:b/>
                                <w:sz w:val="22"/>
                                <w:szCs w:val="22"/>
                              </w:rPr>
                              <w:t>89%</w:t>
                            </w:r>
                            <w:r w:rsidRPr="00337EAC">
                              <w:rPr>
                                <w:sz w:val="22"/>
                                <w:szCs w:val="22"/>
                              </w:rPr>
                              <w:t xml:space="preserve"> of students working with the learning mentor has made them feel a </w:t>
                            </w:r>
                            <w:r w:rsidRPr="004F0876">
                              <w:rPr>
                                <w:b/>
                                <w:sz w:val="22"/>
                                <w:szCs w:val="22"/>
                              </w:rPr>
                              <w:t>more valued</w:t>
                            </w:r>
                            <w:r w:rsidRPr="00337EAC">
                              <w:rPr>
                                <w:sz w:val="22"/>
                                <w:szCs w:val="22"/>
                              </w:rPr>
                              <w:t xml:space="preserve"> member of the school.</w:t>
                            </w:r>
                          </w:p>
                          <w:p w14:paraId="3DAA2863" w14:textId="77777777" w:rsidR="001776EE" w:rsidRPr="00AB3107" w:rsidRDefault="001776EE" w:rsidP="001776EE">
                            <w:pPr>
                              <w:pStyle w:val="ListParagraph"/>
                              <w:spacing w:after="0" w:line="240" w:lineRule="auto"/>
                              <w:ind w:left="360"/>
                              <w:rPr>
                                <w:sz w:val="22"/>
                                <w:szCs w:val="22"/>
                              </w:rPr>
                            </w:pPr>
                          </w:p>
                          <w:p w14:paraId="43DC413F" w14:textId="77777777" w:rsidR="001776EE" w:rsidRPr="00337EAC" w:rsidRDefault="001776EE" w:rsidP="001776EE">
                            <w:pPr>
                              <w:spacing w:after="0"/>
                              <w:rPr>
                                <w:b/>
                                <w:bCs/>
                                <w:sz w:val="22"/>
                                <w:szCs w:val="22"/>
                              </w:rPr>
                            </w:pPr>
                            <w:r w:rsidRPr="00337EAC">
                              <w:rPr>
                                <w:b/>
                                <w:bCs/>
                                <w:sz w:val="22"/>
                                <w:szCs w:val="22"/>
                              </w:rPr>
                              <w:t>Extra curricula activities and school trips</w:t>
                            </w:r>
                          </w:p>
                          <w:p w14:paraId="73BFDB36" w14:textId="77777777" w:rsidR="001776EE" w:rsidRDefault="001776EE" w:rsidP="001776EE">
                            <w:pPr>
                              <w:spacing w:after="0"/>
                              <w:rPr>
                                <w:sz w:val="22"/>
                                <w:szCs w:val="22"/>
                              </w:rPr>
                            </w:pPr>
                            <w:r w:rsidRPr="00337EAC">
                              <w:rPr>
                                <w:sz w:val="22"/>
                                <w:szCs w:val="22"/>
                              </w:rPr>
                              <w:t xml:space="preserve">Over 100% of the allocated budget for supporting disadvantaged students to enable them to attend trips and take part in after school clubs was spent last year. A new MIS means it has not been possible to collect specific data in terms of individual students; however, this will be in place for 2025-26 and we continue to remain committed to ensuring all students are given culturally rich opportunities. </w:t>
                            </w:r>
                          </w:p>
                          <w:p w14:paraId="542F6219" w14:textId="1CDA9073" w:rsidR="00FB0825" w:rsidRDefault="00FB08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1C8C0" id="_x0000_s1028" type="#_x0000_t202" style="position:absolute;margin-left:0;margin-top:13.75pt;width:475.8pt;height:42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">
                <v:textbox>
                  <w:txbxContent>
                    <w:p w14:paraId="5CE71F5D" w14:textId="77777777" w:rsidR="001776EE" w:rsidRPr="00337EAC" w:rsidRDefault="001776EE" w:rsidP="001776EE">
                      <w:pPr>
                        <w:rPr>
                          <w:sz w:val="22"/>
                          <w:szCs w:val="22"/>
                        </w:rPr>
                      </w:pPr>
                      <w:r w:rsidRPr="00AB3107">
                        <w:rPr>
                          <w:b/>
                          <w:sz w:val="22"/>
                          <w:szCs w:val="22"/>
                        </w:rPr>
                        <w:t>Homework</w:t>
                      </w:r>
                      <w:r w:rsidRPr="00337EAC">
                        <w:rPr>
                          <w:sz w:val="22"/>
                          <w:szCs w:val="22"/>
                        </w:rPr>
                        <w:t xml:space="preserve"> not being completed accrued the largest number of negative points for the whole school only </w:t>
                      </w:r>
                      <w:r w:rsidRPr="00AB3107">
                        <w:rPr>
                          <w:b/>
                          <w:sz w:val="22"/>
                          <w:szCs w:val="22"/>
                        </w:rPr>
                        <w:t>34% of these incidents</w:t>
                      </w:r>
                      <w:r w:rsidRPr="00337EAC">
                        <w:rPr>
                          <w:sz w:val="22"/>
                          <w:szCs w:val="22"/>
                        </w:rPr>
                        <w:t xml:space="preserve"> were for disadvantaged students. Furthermore, there are no specific categories within this data that stand out as being significantly disproportionally attributed to disadvantaged students.</w:t>
                      </w:r>
                    </w:p>
                    <w:p w14:paraId="29AB2AF9" w14:textId="77777777" w:rsidR="001776EE" w:rsidRPr="00337EAC" w:rsidRDefault="001776EE" w:rsidP="001776EE">
                      <w:pPr>
                        <w:rPr>
                          <w:sz w:val="22"/>
                          <w:szCs w:val="22"/>
                        </w:rPr>
                      </w:pPr>
                      <w:r w:rsidRPr="00337EAC">
                        <w:rPr>
                          <w:sz w:val="22"/>
                          <w:szCs w:val="22"/>
                        </w:rPr>
                        <w:t xml:space="preserve">Further work commenced during the summer term of last year around our students and families’ attitudes to school and education. A restructure and adding additional capacity within the pastoral team has ensured that we can improve even further our disadvantaged student’s attitudes to learning and aspiration. </w:t>
                      </w:r>
                    </w:p>
                    <w:p w14:paraId="269C536C" w14:textId="77777777" w:rsidR="001776EE" w:rsidRPr="00337EAC" w:rsidRDefault="001776EE" w:rsidP="001776EE">
                      <w:pPr>
                        <w:spacing w:after="0"/>
                        <w:rPr>
                          <w:b/>
                          <w:bCs/>
                          <w:sz w:val="22"/>
                          <w:szCs w:val="22"/>
                        </w:rPr>
                      </w:pPr>
                      <w:r w:rsidRPr="00337EAC">
                        <w:rPr>
                          <w:b/>
                          <w:bCs/>
                          <w:sz w:val="22"/>
                          <w:szCs w:val="22"/>
                        </w:rPr>
                        <w:t>Learning mentor</w:t>
                      </w:r>
                    </w:p>
                    <w:p w14:paraId="56391C37" w14:textId="77777777" w:rsidR="001776EE" w:rsidRPr="00337EAC" w:rsidRDefault="001776EE" w:rsidP="001776EE">
                      <w:pPr>
                        <w:spacing w:after="0"/>
                        <w:rPr>
                          <w:sz w:val="22"/>
                          <w:szCs w:val="22"/>
                        </w:rPr>
                      </w:pPr>
                      <w:r w:rsidRPr="00337EAC">
                        <w:rPr>
                          <w:sz w:val="22"/>
                          <w:szCs w:val="22"/>
                        </w:rPr>
                        <w:t>Employment of a part time learning mentor, has had significant impact on student’s engagement and progress especially at KS3, the data below is taken from an impact survey completed with the students in June 2025</w:t>
                      </w:r>
                    </w:p>
                    <w:p w14:paraId="67FC5CD8" w14:textId="77777777" w:rsidR="001776EE" w:rsidRPr="00337EAC" w:rsidRDefault="001776EE" w:rsidP="001776EE">
                      <w:pPr>
                        <w:pStyle w:val="ListParagraph"/>
                        <w:numPr>
                          <w:ilvl w:val="0"/>
                          <w:numId w:val="34"/>
                        </w:numPr>
                        <w:suppressAutoHyphens w:val="0"/>
                        <w:autoSpaceDN/>
                        <w:spacing w:after="0" w:line="240" w:lineRule="auto"/>
                        <w:rPr>
                          <w:sz w:val="22"/>
                          <w:szCs w:val="22"/>
                        </w:rPr>
                      </w:pPr>
                      <w:r w:rsidRPr="004F0876">
                        <w:rPr>
                          <w:b/>
                          <w:sz w:val="22"/>
                          <w:szCs w:val="22"/>
                        </w:rPr>
                        <w:t>94%</w:t>
                      </w:r>
                      <w:r w:rsidRPr="00337EAC">
                        <w:rPr>
                          <w:sz w:val="22"/>
                          <w:szCs w:val="22"/>
                        </w:rPr>
                        <w:t xml:space="preserve"> of those working with the learning mentor have said it has helped </w:t>
                      </w:r>
                      <w:r w:rsidRPr="004F0876">
                        <w:rPr>
                          <w:b/>
                          <w:sz w:val="22"/>
                          <w:szCs w:val="22"/>
                        </w:rPr>
                        <w:t>improve behaviour</w:t>
                      </w:r>
                      <w:r w:rsidRPr="00337EAC">
                        <w:rPr>
                          <w:sz w:val="22"/>
                          <w:szCs w:val="22"/>
                        </w:rPr>
                        <w:t>.</w:t>
                      </w:r>
                    </w:p>
                    <w:p w14:paraId="5782B5C4" w14:textId="77777777" w:rsidR="001776EE" w:rsidRPr="00337EAC" w:rsidRDefault="001776EE" w:rsidP="001776EE">
                      <w:pPr>
                        <w:pStyle w:val="ListParagraph"/>
                        <w:numPr>
                          <w:ilvl w:val="0"/>
                          <w:numId w:val="34"/>
                        </w:numPr>
                        <w:suppressAutoHyphens w:val="0"/>
                        <w:autoSpaceDN/>
                        <w:spacing w:after="0" w:line="240" w:lineRule="auto"/>
                        <w:rPr>
                          <w:sz w:val="22"/>
                          <w:szCs w:val="22"/>
                        </w:rPr>
                      </w:pPr>
                      <w:r w:rsidRPr="00337EAC">
                        <w:rPr>
                          <w:sz w:val="22"/>
                          <w:szCs w:val="22"/>
                        </w:rPr>
                        <w:t>83% of those working with the learning mentor have said it has helped improve attendance.</w:t>
                      </w:r>
                    </w:p>
                    <w:p w14:paraId="4C83FE3D" w14:textId="77777777" w:rsidR="001776EE" w:rsidRPr="00337EAC" w:rsidRDefault="001776EE" w:rsidP="001776EE">
                      <w:pPr>
                        <w:pStyle w:val="ListParagraph"/>
                        <w:numPr>
                          <w:ilvl w:val="0"/>
                          <w:numId w:val="34"/>
                        </w:numPr>
                        <w:suppressAutoHyphens w:val="0"/>
                        <w:autoSpaceDN/>
                        <w:spacing w:after="0" w:line="240" w:lineRule="auto"/>
                        <w:rPr>
                          <w:sz w:val="22"/>
                          <w:szCs w:val="22"/>
                        </w:rPr>
                      </w:pPr>
                      <w:r w:rsidRPr="00337EAC">
                        <w:rPr>
                          <w:sz w:val="22"/>
                          <w:szCs w:val="22"/>
                        </w:rPr>
                        <w:t>78% of those working with the learning mentor have said it has helped improve confidence.</w:t>
                      </w:r>
                    </w:p>
                    <w:p w14:paraId="7EBD426C" w14:textId="77777777" w:rsidR="001776EE" w:rsidRDefault="001776EE" w:rsidP="001776EE">
                      <w:pPr>
                        <w:pStyle w:val="ListParagraph"/>
                        <w:numPr>
                          <w:ilvl w:val="0"/>
                          <w:numId w:val="34"/>
                        </w:numPr>
                        <w:suppressAutoHyphens w:val="0"/>
                        <w:autoSpaceDN/>
                        <w:spacing w:after="0" w:line="240" w:lineRule="auto"/>
                        <w:rPr>
                          <w:sz w:val="22"/>
                          <w:szCs w:val="22"/>
                        </w:rPr>
                      </w:pPr>
                      <w:r w:rsidRPr="004F0876">
                        <w:rPr>
                          <w:b/>
                          <w:sz w:val="22"/>
                          <w:szCs w:val="22"/>
                        </w:rPr>
                        <w:t>89%</w:t>
                      </w:r>
                      <w:r w:rsidRPr="00337EAC">
                        <w:rPr>
                          <w:sz w:val="22"/>
                          <w:szCs w:val="22"/>
                        </w:rPr>
                        <w:t xml:space="preserve"> of students working with the learning mentor has made them feel a </w:t>
                      </w:r>
                      <w:r w:rsidRPr="004F0876">
                        <w:rPr>
                          <w:b/>
                          <w:sz w:val="22"/>
                          <w:szCs w:val="22"/>
                        </w:rPr>
                        <w:t>more valued</w:t>
                      </w:r>
                      <w:r w:rsidRPr="00337EAC">
                        <w:rPr>
                          <w:sz w:val="22"/>
                          <w:szCs w:val="22"/>
                        </w:rPr>
                        <w:t xml:space="preserve"> member of the school.</w:t>
                      </w:r>
                    </w:p>
                    <w:p w14:paraId="3DAA2863" w14:textId="77777777" w:rsidR="001776EE" w:rsidRPr="00AB3107" w:rsidRDefault="001776EE" w:rsidP="001776EE">
                      <w:pPr>
                        <w:pStyle w:val="ListParagraph"/>
                        <w:spacing w:after="0" w:line="240" w:lineRule="auto"/>
                        <w:ind w:left="360"/>
                        <w:rPr>
                          <w:sz w:val="22"/>
                          <w:szCs w:val="22"/>
                        </w:rPr>
                      </w:pPr>
                    </w:p>
                    <w:p w14:paraId="43DC413F" w14:textId="77777777" w:rsidR="001776EE" w:rsidRPr="00337EAC" w:rsidRDefault="001776EE" w:rsidP="001776EE">
                      <w:pPr>
                        <w:spacing w:after="0"/>
                        <w:rPr>
                          <w:b/>
                          <w:bCs/>
                          <w:sz w:val="22"/>
                          <w:szCs w:val="22"/>
                        </w:rPr>
                      </w:pPr>
                      <w:r w:rsidRPr="00337EAC">
                        <w:rPr>
                          <w:b/>
                          <w:bCs/>
                          <w:sz w:val="22"/>
                          <w:szCs w:val="22"/>
                        </w:rPr>
                        <w:t>Extra curricula activities and school trips</w:t>
                      </w:r>
                    </w:p>
                    <w:p w14:paraId="73BFDB36" w14:textId="77777777" w:rsidR="001776EE" w:rsidRDefault="001776EE" w:rsidP="001776EE">
                      <w:pPr>
                        <w:spacing w:after="0"/>
                        <w:rPr>
                          <w:sz w:val="22"/>
                          <w:szCs w:val="22"/>
                        </w:rPr>
                      </w:pPr>
                      <w:r w:rsidRPr="00337EAC">
                        <w:rPr>
                          <w:sz w:val="22"/>
                          <w:szCs w:val="22"/>
                        </w:rPr>
                        <w:t xml:space="preserve">Over 100% of the allocated budget for supporting disadvantaged students to enable them to attend trips and take part in after school clubs was spent last year. A new MIS means it has not been possible to collect specific data in terms of individual students; however, this will be in place for 2025-26 and we continue to remain committed to ensuring all students are given culturally rich opportunities. </w:t>
                      </w:r>
                    </w:p>
                    <w:p w14:paraId="542F6219" w14:textId="1CDA9073" w:rsidR="00FB0825" w:rsidRDefault="00FB0825"/>
                  </w:txbxContent>
                </v:textbox>
                <w10:wrap type="square" anchorx="margin"/>
              </v:shape>
            </w:pict>
          </mc:Fallback>
        </mc:AlternateContent>
      </w:r>
    </w:p>
    <w:p w14:paraId="7A89C623" w14:textId="34003E05" w:rsidR="002E5C03" w:rsidRDefault="00E50E9F" w:rsidP="002E5C03">
      <w:r>
        <w:rPr>
          <w:noProof/>
        </w:rPr>
        <w:lastRenderedPageBreak/>
        <mc:AlternateContent>
          <mc:Choice Requires="wps">
            <w:drawing>
              <wp:anchor distT="45720" distB="45720" distL="114300" distR="114300" simplePos="0" relativeHeight="251658243" behindDoc="0" locked="0" layoutInCell="1" allowOverlap="1" wp14:anchorId="085803B6" wp14:editId="28A22E86">
                <wp:simplePos x="0" y="0"/>
                <wp:positionH relativeFrom="column">
                  <wp:posOffset>74930</wp:posOffset>
                </wp:positionH>
                <wp:positionV relativeFrom="paragraph">
                  <wp:posOffset>3175</wp:posOffset>
                </wp:positionV>
                <wp:extent cx="5899785" cy="2265680"/>
                <wp:effectExtent l="0" t="0" r="24765" b="20320"/>
                <wp:wrapSquare wrapText="bothSides"/>
                <wp:docPr id="649226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2265680"/>
                        </a:xfrm>
                        <a:prstGeom prst="rect">
                          <a:avLst/>
                        </a:prstGeom>
                        <a:solidFill>
                          <a:srgbClr val="FFFFFF"/>
                        </a:solidFill>
                        <a:ln w="9525">
                          <a:solidFill>
                            <a:srgbClr val="000000"/>
                          </a:solidFill>
                          <a:miter lim="800000"/>
                          <a:headEnd/>
                          <a:tailEnd/>
                        </a:ln>
                      </wps:spPr>
                      <wps:txbx>
                        <w:txbxContent>
                          <w:p w14:paraId="65948652" w14:textId="77777777" w:rsidR="002E5C03" w:rsidRPr="00337EAC" w:rsidRDefault="002E5C03" w:rsidP="002E5C03">
                            <w:pPr>
                              <w:rPr>
                                <w:sz w:val="22"/>
                                <w:szCs w:val="22"/>
                              </w:rPr>
                            </w:pPr>
                            <w:r w:rsidRPr="00337EAC">
                              <w:rPr>
                                <w:sz w:val="22"/>
                                <w:szCs w:val="22"/>
                              </w:rPr>
                              <w:t xml:space="preserve">Since July we have agreed a partnership with the </w:t>
                            </w:r>
                            <w:r w:rsidRPr="00337EAC">
                              <w:rPr>
                                <w:b/>
                                <w:bCs/>
                                <w:sz w:val="22"/>
                                <w:szCs w:val="22"/>
                              </w:rPr>
                              <w:t xml:space="preserve">Bath </w:t>
                            </w:r>
                            <w:r>
                              <w:rPr>
                                <w:b/>
                                <w:bCs/>
                                <w:sz w:val="22"/>
                                <w:szCs w:val="22"/>
                              </w:rPr>
                              <w:t>R</w:t>
                            </w:r>
                            <w:r w:rsidRPr="00337EAC">
                              <w:rPr>
                                <w:b/>
                                <w:bCs/>
                                <w:sz w:val="22"/>
                                <w:szCs w:val="22"/>
                              </w:rPr>
                              <w:t xml:space="preserve">ugby </w:t>
                            </w:r>
                            <w:r>
                              <w:rPr>
                                <w:b/>
                                <w:bCs/>
                                <w:sz w:val="22"/>
                                <w:szCs w:val="22"/>
                              </w:rPr>
                              <w:t>F</w:t>
                            </w:r>
                            <w:r w:rsidRPr="00337EAC">
                              <w:rPr>
                                <w:b/>
                                <w:bCs/>
                                <w:sz w:val="22"/>
                                <w:szCs w:val="22"/>
                              </w:rPr>
                              <w:t xml:space="preserve">oundation </w:t>
                            </w:r>
                            <w:r w:rsidRPr="00337EAC">
                              <w:rPr>
                                <w:sz w:val="22"/>
                                <w:szCs w:val="22"/>
                              </w:rPr>
                              <w:t>50%funded through the PPG to provide weekly mentoring and small group workshops with a cohort of students in KS3 who are struggling to access the mainstream curriculum.</w:t>
                            </w:r>
                          </w:p>
                          <w:p w14:paraId="0DF1EC28" w14:textId="77777777" w:rsidR="002E5C03" w:rsidRDefault="002E5C03" w:rsidP="002E5C03">
                            <w:pPr>
                              <w:spacing w:after="0"/>
                              <w:rPr>
                                <w:sz w:val="22"/>
                                <w:szCs w:val="22"/>
                              </w:rPr>
                            </w:pPr>
                            <w:r w:rsidRPr="00337EAC">
                              <w:rPr>
                                <w:sz w:val="22"/>
                                <w:szCs w:val="22"/>
                              </w:rPr>
                              <w:t xml:space="preserve">There is a renewed focus on driving up outcomes and aspirations for our disadvantaged students, as part of a wider strategy we are investing in working with external organisations including Elevate who will be delivering bespoke workshops over the next 6 months focused on revision techniques and confidence. Furthermore, we are partnering with </w:t>
                            </w:r>
                            <w:r w:rsidRPr="004F0876">
                              <w:rPr>
                                <w:b/>
                                <w:sz w:val="22"/>
                                <w:szCs w:val="22"/>
                              </w:rPr>
                              <w:t>Bath University</w:t>
                            </w:r>
                            <w:r w:rsidRPr="00337EAC">
                              <w:rPr>
                                <w:sz w:val="22"/>
                                <w:szCs w:val="22"/>
                              </w:rPr>
                              <w:t xml:space="preserve"> who have trained a number of </w:t>
                            </w:r>
                            <w:r>
                              <w:rPr>
                                <w:sz w:val="22"/>
                                <w:szCs w:val="22"/>
                              </w:rPr>
                              <w:t xml:space="preserve">their </w:t>
                            </w:r>
                            <w:r w:rsidRPr="00337EAC">
                              <w:rPr>
                                <w:sz w:val="22"/>
                                <w:szCs w:val="22"/>
                              </w:rPr>
                              <w:t xml:space="preserve">under-graduates to deliver one-to-one </w:t>
                            </w:r>
                            <w:r>
                              <w:rPr>
                                <w:sz w:val="22"/>
                                <w:szCs w:val="22"/>
                              </w:rPr>
                              <w:t xml:space="preserve">weekly </w:t>
                            </w:r>
                            <w:r w:rsidRPr="00337EAC">
                              <w:rPr>
                                <w:sz w:val="22"/>
                                <w:szCs w:val="22"/>
                              </w:rPr>
                              <w:t xml:space="preserve">mentoring </w:t>
                            </w:r>
                            <w:r>
                              <w:rPr>
                                <w:sz w:val="22"/>
                                <w:szCs w:val="22"/>
                              </w:rPr>
                              <w:t>focusing on meta-cognition and revision support, this initiative will strengthen the work being done by our Learning mentor.</w:t>
                            </w:r>
                          </w:p>
                          <w:p w14:paraId="45F05FCD" w14:textId="6E927A21" w:rsidR="00E50E9F" w:rsidRDefault="00E50E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803B6" id="_x0000_s1029" type="#_x0000_t202" style="position:absolute;margin-left:5.9pt;margin-top:.25pt;width:464.55pt;height:178.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">
                <v:textbox>
                  <w:txbxContent>
                    <w:p w14:paraId="65948652" w14:textId="77777777" w:rsidR="002E5C03" w:rsidRPr="00337EAC" w:rsidRDefault="002E5C03" w:rsidP="002E5C03">
                      <w:pPr>
                        <w:rPr>
                          <w:sz w:val="22"/>
                          <w:szCs w:val="22"/>
                        </w:rPr>
                      </w:pPr>
                      <w:r w:rsidRPr="00337EAC">
                        <w:rPr>
                          <w:sz w:val="22"/>
                          <w:szCs w:val="22"/>
                        </w:rPr>
                        <w:t xml:space="preserve">Since July we have agreed a partnership with the </w:t>
                      </w:r>
                      <w:r w:rsidRPr="00337EAC">
                        <w:rPr>
                          <w:b/>
                          <w:bCs/>
                          <w:sz w:val="22"/>
                          <w:szCs w:val="22"/>
                        </w:rPr>
                        <w:t xml:space="preserve">Bath </w:t>
                      </w:r>
                      <w:r>
                        <w:rPr>
                          <w:b/>
                          <w:bCs/>
                          <w:sz w:val="22"/>
                          <w:szCs w:val="22"/>
                        </w:rPr>
                        <w:t>R</w:t>
                      </w:r>
                      <w:r w:rsidRPr="00337EAC">
                        <w:rPr>
                          <w:b/>
                          <w:bCs/>
                          <w:sz w:val="22"/>
                          <w:szCs w:val="22"/>
                        </w:rPr>
                        <w:t xml:space="preserve">ugby </w:t>
                      </w:r>
                      <w:r>
                        <w:rPr>
                          <w:b/>
                          <w:bCs/>
                          <w:sz w:val="22"/>
                          <w:szCs w:val="22"/>
                        </w:rPr>
                        <w:t>F</w:t>
                      </w:r>
                      <w:r w:rsidRPr="00337EAC">
                        <w:rPr>
                          <w:b/>
                          <w:bCs/>
                          <w:sz w:val="22"/>
                          <w:szCs w:val="22"/>
                        </w:rPr>
                        <w:t xml:space="preserve">oundation </w:t>
                      </w:r>
                      <w:r w:rsidRPr="00337EAC">
                        <w:rPr>
                          <w:sz w:val="22"/>
                          <w:szCs w:val="22"/>
                        </w:rPr>
                        <w:t>50%funded through the PPG to provide weekly mentoring and small group workshops with a cohort of students in KS3 who are struggling to access the mainstream curriculum.</w:t>
                      </w:r>
                    </w:p>
                    <w:p w14:paraId="0DF1EC28" w14:textId="77777777" w:rsidR="002E5C03" w:rsidRDefault="002E5C03" w:rsidP="002E5C03">
                      <w:pPr>
                        <w:spacing w:after="0"/>
                        <w:rPr>
                          <w:sz w:val="22"/>
                          <w:szCs w:val="22"/>
                        </w:rPr>
                      </w:pPr>
                      <w:r w:rsidRPr="00337EAC">
                        <w:rPr>
                          <w:sz w:val="22"/>
                          <w:szCs w:val="22"/>
                        </w:rPr>
                        <w:t xml:space="preserve">There is a renewed focus on driving up outcomes and aspirations for our disadvantaged students, as part of a wider strategy we are investing in working with external organisations including Elevate who will be delivering bespoke workshops over the next 6 months focused on revision techniques and confidence. Furthermore, we are partnering with </w:t>
                      </w:r>
                      <w:r w:rsidRPr="004F0876">
                        <w:rPr>
                          <w:b/>
                          <w:sz w:val="22"/>
                          <w:szCs w:val="22"/>
                        </w:rPr>
                        <w:t>Bath University</w:t>
                      </w:r>
                      <w:r w:rsidRPr="00337EAC">
                        <w:rPr>
                          <w:sz w:val="22"/>
                          <w:szCs w:val="22"/>
                        </w:rPr>
                        <w:t xml:space="preserve"> who have trained a number of </w:t>
                      </w:r>
                      <w:r>
                        <w:rPr>
                          <w:sz w:val="22"/>
                          <w:szCs w:val="22"/>
                        </w:rPr>
                        <w:t xml:space="preserve">their </w:t>
                      </w:r>
                      <w:r w:rsidRPr="00337EAC">
                        <w:rPr>
                          <w:sz w:val="22"/>
                          <w:szCs w:val="22"/>
                        </w:rPr>
                        <w:t xml:space="preserve">under-graduates to deliver one-to-one </w:t>
                      </w:r>
                      <w:r>
                        <w:rPr>
                          <w:sz w:val="22"/>
                          <w:szCs w:val="22"/>
                        </w:rPr>
                        <w:t xml:space="preserve">weekly </w:t>
                      </w:r>
                      <w:r w:rsidRPr="00337EAC">
                        <w:rPr>
                          <w:sz w:val="22"/>
                          <w:szCs w:val="22"/>
                        </w:rPr>
                        <w:t xml:space="preserve">mentoring </w:t>
                      </w:r>
                      <w:r>
                        <w:rPr>
                          <w:sz w:val="22"/>
                          <w:szCs w:val="22"/>
                        </w:rPr>
                        <w:t>focusing on meta-cognition and revision support, this initiative will strengthen the work being done by our Learning mentor.</w:t>
                      </w:r>
                    </w:p>
                    <w:p w14:paraId="45F05FCD" w14:textId="6E927A21" w:rsidR="00E50E9F" w:rsidRDefault="00E50E9F"/>
                  </w:txbxContent>
                </v:textbox>
                <w10:wrap type="square"/>
              </v:shape>
            </w:pict>
          </mc:Fallback>
        </mc:AlternateContent>
      </w:r>
    </w:p>
    <w:p w14:paraId="48C77593" w14:textId="73ADF929" w:rsidR="003E4797" w:rsidRDefault="002D45DD" w:rsidP="002E5C03">
      <w:r>
        <w:t>Externally provided programmes</w:t>
      </w:r>
    </w:p>
    <w:tbl>
      <w:tblPr>
        <w:tblW w:w="5000" w:type="pct"/>
        <w:tblCellMar>
          <w:left w:w="10" w:type="dxa"/>
          <w:right w:w="10" w:type="dxa"/>
        </w:tblCellMar>
        <w:tblLook w:val="04A0" w:firstRow="1" w:lastRow="0" w:firstColumn="1" w:lastColumn="0" w:noHBand="0" w:noVBand="1"/>
      </w:tblPr>
      <w:tblGrid>
        <w:gridCol w:w="5098"/>
        <w:gridCol w:w="4388"/>
      </w:tblGrid>
      <w:tr w:rsidR="003E4797" w14:paraId="45A81B27" w14:textId="77777777" w:rsidTr="30DB94A9">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D265773" w14:textId="77777777" w:rsidR="003E4797" w:rsidRDefault="002D45DD">
            <w:pPr>
              <w:pStyle w:val="TableHeader"/>
              <w:jc w:val="left"/>
            </w:pPr>
            <w:r>
              <w:t>Programme</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7BA7D9E" w14:textId="77777777" w:rsidR="003E4797" w:rsidRDefault="002D45DD">
            <w:pPr>
              <w:pStyle w:val="TableHeader"/>
              <w:jc w:val="left"/>
            </w:pPr>
            <w:r>
              <w:t>Provider</w:t>
            </w:r>
          </w:p>
        </w:tc>
      </w:tr>
      <w:tr w:rsidR="003E4797" w14:paraId="258BE7C0" w14:textId="77777777" w:rsidTr="30DB94A9">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EAE8E" w14:textId="77777777" w:rsidR="003E4797" w:rsidRDefault="002D45DD">
            <w:pPr>
              <w:pStyle w:val="TableRow"/>
              <w:ind w:left="0"/>
            </w:pPr>
            <w:r>
              <w:t>Business mentoring for Year 9 + 12 learners</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C9ED" w14:textId="77777777" w:rsidR="003E4797" w:rsidRDefault="002D45DD">
            <w:pPr>
              <w:pStyle w:val="TableRowCentered"/>
              <w:jc w:val="left"/>
            </w:pPr>
            <w:r>
              <w:t xml:space="preserve">West of England Mentoring </w:t>
            </w:r>
          </w:p>
          <w:p w14:paraId="304B7901" w14:textId="77777777" w:rsidR="003E4797" w:rsidRDefault="002D45DD">
            <w:pPr>
              <w:pStyle w:val="TableRowCentered"/>
              <w:jc w:val="left"/>
            </w:pPr>
            <w:r>
              <w:t>Words for work (additional funding received to run the programme)</w:t>
            </w:r>
          </w:p>
        </w:tc>
      </w:tr>
      <w:tr w:rsidR="003E4797" w14:paraId="002C9D8F" w14:textId="77777777" w:rsidTr="30DB94A9">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7FDE" w14:textId="77777777" w:rsidR="003E4797" w:rsidRDefault="002D45DD">
            <w:pPr>
              <w:pStyle w:val="TableRow"/>
            </w:pPr>
            <w:r>
              <w:t>Walking talking mocks and Year 11 subject masterclasses</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2E226" w14:textId="77777777" w:rsidR="003E4797" w:rsidRDefault="002D45DD">
            <w:pPr>
              <w:pStyle w:val="TableRowCentered"/>
              <w:jc w:val="left"/>
            </w:pPr>
            <w:r>
              <w:t>Impress the Examiner</w:t>
            </w:r>
          </w:p>
        </w:tc>
      </w:tr>
      <w:tr w:rsidR="003E4797" w14:paraId="2F7794B3" w14:textId="77777777" w:rsidTr="30DB94A9">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BE4DE" w14:textId="77777777" w:rsidR="003E4797" w:rsidRDefault="002D45DD">
            <w:pPr>
              <w:pStyle w:val="TableRow"/>
            </w:pPr>
            <w:r>
              <w:t>Holiday camps and ongoing mentoring for KS3 learners</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13FE" w14:textId="77777777" w:rsidR="003E4797" w:rsidRDefault="002D45DD">
            <w:pPr>
              <w:pStyle w:val="TableRowCentered"/>
              <w:jc w:val="left"/>
            </w:pPr>
            <w:r>
              <w:t>Youth Adventure Trust (additional funding received to run the programme)</w:t>
            </w:r>
          </w:p>
        </w:tc>
      </w:tr>
      <w:tr w:rsidR="003E4797" w14:paraId="551B2AA1" w14:textId="77777777" w:rsidTr="30DB94A9">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F108D" w14:textId="77777777" w:rsidR="003E4797" w:rsidRDefault="002D45DD">
            <w:pPr>
              <w:pStyle w:val="TableRow"/>
            </w:pPr>
            <w:r>
              <w:t>Year 12/13 mentoring and career networking</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F3B53" w14:textId="77777777" w:rsidR="003E4797" w:rsidRDefault="002D45DD">
            <w:pPr>
              <w:pStyle w:val="TableRowCentered"/>
              <w:jc w:val="left"/>
            </w:pPr>
            <w:r>
              <w:t>Talent Tap</w:t>
            </w:r>
          </w:p>
        </w:tc>
      </w:tr>
      <w:tr w:rsidR="003E4797" w14:paraId="684381A4" w14:textId="77777777" w:rsidTr="30DB94A9">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57EA8" w14:textId="77777777" w:rsidR="003E4797" w:rsidRDefault="002D45DD">
            <w:pPr>
              <w:pStyle w:val="TableRow"/>
            </w:pPr>
            <w:r>
              <w:t>WIN for Year 9 onwards</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40E69" w14:textId="77777777" w:rsidR="003E4797" w:rsidRDefault="002D45DD">
            <w:pPr>
              <w:pStyle w:val="TableRowCentered"/>
              <w:jc w:val="left"/>
            </w:pPr>
            <w:r>
              <w:t>Wessex Inspiration Network</w:t>
            </w:r>
          </w:p>
        </w:tc>
      </w:tr>
      <w:tr w:rsidR="003E4797" w14:paraId="438E4523" w14:textId="77777777" w:rsidTr="30DB94A9">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1A451" w14:textId="77777777" w:rsidR="003E4797" w:rsidRDefault="002D45DD">
            <w:pPr>
              <w:pStyle w:val="TableRow"/>
            </w:pPr>
            <w:r>
              <w:t xml:space="preserve">Building Resilience in Young Minds </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E1EC7" w14:textId="77777777" w:rsidR="003E4797" w:rsidRDefault="002D45DD">
            <w:pPr>
              <w:pStyle w:val="TableRowCentered"/>
              <w:jc w:val="left"/>
            </w:pPr>
            <w:r>
              <w:t>BRIYM</w:t>
            </w:r>
          </w:p>
        </w:tc>
      </w:tr>
      <w:tr w:rsidR="30DB94A9" w14:paraId="0AB01758" w14:textId="77777777" w:rsidTr="30DB94A9">
        <w:trPr>
          <w:trHeight w:val="300"/>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BADCE" w14:textId="34EC194C" w:rsidR="70B7BE6B" w:rsidRDefault="70B7BE6B" w:rsidP="30DB94A9">
            <w:pPr>
              <w:pStyle w:val="TableRow"/>
            </w:pPr>
            <w:r>
              <w:t>Bath University</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ADFA5" w14:textId="628DCF81" w:rsidR="70B7BE6B" w:rsidRDefault="70B7BE6B" w:rsidP="30DB94A9">
            <w:pPr>
              <w:pStyle w:val="TableRowCentered"/>
              <w:jc w:val="left"/>
            </w:pPr>
            <w:r>
              <w:t>Academic mentoring for yr11</w:t>
            </w:r>
          </w:p>
        </w:tc>
      </w:tr>
      <w:tr w:rsidR="30DB94A9" w14:paraId="419973B4" w14:textId="77777777" w:rsidTr="30DB94A9">
        <w:trPr>
          <w:trHeight w:val="300"/>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8E339" w14:textId="7DED6A5A" w:rsidR="70B7BE6B" w:rsidRDefault="70B7BE6B" w:rsidP="30DB94A9">
            <w:pPr>
              <w:pStyle w:val="TableRow"/>
            </w:pPr>
            <w:r>
              <w:t>Bath Rugby Foundation</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6836F" w14:textId="6F449374" w:rsidR="70B7BE6B" w:rsidRDefault="70B7BE6B" w:rsidP="30DB94A9">
            <w:pPr>
              <w:pStyle w:val="TableRowCentered"/>
              <w:jc w:val="left"/>
            </w:pPr>
            <w:r>
              <w:t>Weekly mentoring and resilience work with KS3</w:t>
            </w:r>
          </w:p>
        </w:tc>
      </w:tr>
      <w:tr w:rsidR="30DB94A9" w14:paraId="087BD7E0" w14:textId="77777777" w:rsidTr="30DB94A9">
        <w:trPr>
          <w:trHeight w:val="300"/>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BC7C9" w14:textId="25DE2A24" w:rsidR="70B7BE6B" w:rsidRDefault="70B7BE6B" w:rsidP="30DB94A9">
            <w:pPr>
              <w:pStyle w:val="TableRow"/>
            </w:pPr>
            <w:r>
              <w:t>Elevate</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78D2D" w14:textId="0E002679" w:rsidR="70B7BE6B" w:rsidRDefault="70B7BE6B" w:rsidP="30DB94A9">
            <w:pPr>
              <w:pStyle w:val="TableRowCentered"/>
              <w:jc w:val="left"/>
            </w:pPr>
            <w:r>
              <w:t>Targeted revision workshops for yr11</w:t>
            </w:r>
          </w:p>
        </w:tc>
      </w:tr>
    </w:tbl>
    <w:p w14:paraId="57E27F7E" w14:textId="77777777" w:rsidR="003E4797" w:rsidRDefault="002D45DD">
      <w:pPr>
        <w:pStyle w:val="Heading1"/>
      </w:pPr>
      <w: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3E4797" w14:paraId="1A835477"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39E1" w14:textId="77777777" w:rsidR="003E4797" w:rsidRDefault="002D45DD">
            <w:pPr>
              <w:autoSpaceDN/>
              <w:spacing w:before="120" w:after="120"/>
              <w:rPr>
                <w:rFonts w:cs="Arial"/>
                <w:b/>
                <w:bCs/>
                <w:iCs/>
                <w:color w:val="auto"/>
                <w:lang w:eastAsia="en-US"/>
              </w:rPr>
            </w:pPr>
            <w:r>
              <w:rPr>
                <w:rFonts w:cs="Arial"/>
                <w:b/>
                <w:bCs/>
                <w:iCs/>
                <w:color w:val="auto"/>
                <w:lang w:eastAsia="en-US"/>
              </w:rPr>
              <w:t>Additional activity</w:t>
            </w:r>
          </w:p>
          <w:p w14:paraId="6CDCC9C4" w14:textId="77777777" w:rsidR="003E4797" w:rsidRDefault="002D45DD">
            <w:pPr>
              <w:spacing w:line="276" w:lineRule="auto"/>
              <w:rPr>
                <w:rFonts w:cs="Arial"/>
              </w:rPr>
            </w:pPr>
            <w:r>
              <w:rPr>
                <w:rFonts w:cs="Arial"/>
              </w:rPr>
              <w:t xml:space="preserve">The progress and attainment of disadvantaged learners is everyone’s responsibility and at Kingsbury Green Academy all staff believe it is their responsibility to support all learners but especially disadvantaged learners to achieve excellence. This is seen through our whole school First PP strategy that ensures all teachers focus on delivering quality first teaching through prioritising disadvantaged learners when preparing lessons, engaging learners and assessing learning.  This includes carefully considered seating plans, targeted questioning and effective feedback. We have also always prioritised summer school to aid the transition to secondary school, specifically for our disadvantaged learners. </w:t>
            </w:r>
          </w:p>
          <w:p w14:paraId="73C3E832" w14:textId="77777777" w:rsidR="003E4797" w:rsidRDefault="002D45DD">
            <w:pPr>
              <w:suppressAutoHyphens w:val="0"/>
              <w:autoSpaceDN/>
              <w:spacing w:before="100" w:beforeAutospacing="1" w:after="100" w:afterAutospacing="1" w:line="276" w:lineRule="auto"/>
              <w:rPr>
                <w:rFonts w:cs="Arial"/>
              </w:rPr>
            </w:pPr>
            <w:r>
              <w:rPr>
                <w:rFonts w:cs="Arial"/>
              </w:rPr>
              <w:t xml:space="preserve">It is also shown through our curriculum which is continually reviewed to ensure that is a broad offer that addresses the academic development of our learners alongside their personal, cultural and social development. Quality Assurance shows that the implementation of the curriculum intent is good and is supported by Ofsted.  </w:t>
            </w:r>
          </w:p>
          <w:p w14:paraId="12C6C003" w14:textId="77777777" w:rsidR="003E4797" w:rsidRDefault="002D45DD">
            <w:pPr>
              <w:spacing w:line="276" w:lineRule="auto"/>
              <w:rPr>
                <w:rFonts w:cs="Arial"/>
              </w:rPr>
            </w:pPr>
            <w:r>
              <w:rPr>
                <w:rFonts w:cs="Arial"/>
              </w:rPr>
              <w:t xml:space="preserve">The delivery of quality first teaching at Kingsbury Green Academy is implemented through the ‘KGA learning cycle’ (launched in 2018-19) which embeds metacognition along with behaviour expectations in each part of the learning journey. This consistency is shown through our quality assurance to support disadvantaged learners and it has been so successful that it has been implemented in other schools within the Ascend Learning Trust. Progress of disadvantaged learners is monitored through bi-annual data snap shots in a concise way to raise concerns at subject, focus group and learner level. Actions are agreed at raising standards meetings and monitored through the quality assurance cycle. </w:t>
            </w:r>
          </w:p>
          <w:p w14:paraId="3CE5A942" w14:textId="77777777" w:rsidR="003E4797" w:rsidRDefault="002D45DD">
            <w:pPr>
              <w:spacing w:line="276" w:lineRule="auto"/>
              <w:rPr>
                <w:rFonts w:cs="Arial"/>
              </w:rPr>
            </w:pPr>
            <w:r>
              <w:rPr>
                <w:rFonts w:cs="Arial"/>
              </w:rPr>
              <w:t>In all of our whole school decisions the progress and opportunities for disadvantaged learners are considered first, for example in the extension of the school day for Year 11s and the implementation of KGA+ (enrichment programme) which is built into teacher directed time. Research shows that these opportunities have the biggest impact on disadvantaged cohorts.</w:t>
            </w:r>
          </w:p>
          <w:p w14:paraId="77E82841" w14:textId="77777777" w:rsidR="003E4797" w:rsidRDefault="002D45DD">
            <w:pPr>
              <w:autoSpaceDN/>
              <w:spacing w:before="120" w:after="60"/>
              <w:rPr>
                <w:rFonts w:cs="Arial"/>
              </w:rPr>
            </w:pPr>
            <w:r>
              <w:rPr>
                <w:rFonts w:cs="Arial"/>
              </w:rPr>
              <w:t xml:space="preserve">Our pupil premium strategy is supplemented by additional activity that is not being fully funded by pupil premium or recovery premium. This includes: </w:t>
            </w:r>
          </w:p>
          <w:p w14:paraId="626484F3" w14:textId="77777777" w:rsidR="003E4797" w:rsidRDefault="002D45DD">
            <w:pPr>
              <w:pStyle w:val="ListParagraph"/>
              <w:numPr>
                <w:ilvl w:val="0"/>
                <w:numId w:val="30"/>
              </w:numPr>
              <w:spacing w:after="0" w:line="276" w:lineRule="auto"/>
              <w:rPr>
                <w:rFonts w:cs="Arial"/>
              </w:rPr>
            </w:pPr>
            <w:r>
              <w:rPr>
                <w:rFonts w:cs="Arial"/>
              </w:rPr>
              <w:t>SLT position dedicated to attendance which is a significant barrier to our disadvantaged learners</w:t>
            </w:r>
          </w:p>
          <w:p w14:paraId="79C0B5B1" w14:textId="77777777" w:rsidR="003E4797" w:rsidRDefault="002D45DD">
            <w:pPr>
              <w:pStyle w:val="ListParagraph"/>
              <w:numPr>
                <w:ilvl w:val="0"/>
                <w:numId w:val="30"/>
              </w:numPr>
              <w:spacing w:after="0" w:line="276" w:lineRule="auto"/>
              <w:rPr>
                <w:rFonts w:cs="Arial"/>
              </w:rPr>
            </w:pPr>
            <w:r>
              <w:rPr>
                <w:rFonts w:cs="Arial"/>
              </w:rPr>
              <w:t>Trauma informed training</w:t>
            </w:r>
          </w:p>
          <w:p w14:paraId="70FFF8EE" w14:textId="77777777" w:rsidR="003E4797" w:rsidRDefault="002D45DD">
            <w:pPr>
              <w:numPr>
                <w:ilvl w:val="0"/>
                <w:numId w:val="31"/>
              </w:numPr>
              <w:autoSpaceDN/>
              <w:spacing w:before="60" w:after="0"/>
              <w:ind w:left="714" w:hanging="357"/>
              <w:rPr>
                <w:rFonts w:cs="Arial"/>
              </w:rPr>
            </w:pPr>
            <w:r>
              <w:rPr>
                <w:rFonts w:cs="Arial"/>
              </w:rPr>
              <w:t xml:space="preserve">Utilising support from our local </w:t>
            </w:r>
            <w:hyperlink r:id="rId25" w:anchor="MHST" w:history="1">
              <w:r>
                <w:rPr>
                  <w:rFonts w:cs="Arial"/>
                </w:rPr>
                <w:t>Mental Health Support Team</w:t>
              </w:r>
            </w:hyperlink>
            <w:r>
              <w:rPr>
                <w:rFonts w:cs="Arial"/>
              </w:rPr>
              <w:t xml:space="preserve"> to support pupils with mild to moderate mental health and wellbeing issues, many of whom are disadvantaged</w:t>
            </w:r>
          </w:p>
          <w:p w14:paraId="42658DE4" w14:textId="77777777" w:rsidR="003E4797" w:rsidRDefault="002D45DD">
            <w:pPr>
              <w:numPr>
                <w:ilvl w:val="0"/>
                <w:numId w:val="31"/>
              </w:numPr>
              <w:autoSpaceDN/>
              <w:spacing w:before="60"/>
              <w:ind w:left="714" w:hanging="357"/>
              <w:rPr>
                <w:rFonts w:cs="Arial"/>
              </w:rPr>
            </w:pPr>
            <w:r>
              <w:rPr>
                <w:rFonts w:cs="Arial"/>
              </w:rPr>
              <w:t xml:space="preserve">Offering a range of high-quality extra-curricular activities to boost wellbeing, behaviour, attendance, and aspiration. Activities (e.g., The Duke of Edinburgh’s </w:t>
            </w:r>
            <w:r>
              <w:rPr>
                <w:rFonts w:cs="Arial"/>
              </w:rPr>
              <w:lastRenderedPageBreak/>
              <w:t xml:space="preserve">Award, Youth Adventure Trust). Disadvantaged pupils are encouraged and supported to participate.  </w:t>
            </w:r>
          </w:p>
          <w:p w14:paraId="6324952C" w14:textId="77777777" w:rsidR="003E4797" w:rsidRDefault="002D45DD">
            <w:pPr>
              <w:autoSpaceDN/>
              <w:spacing w:before="120" w:after="120"/>
              <w:rPr>
                <w:rFonts w:cs="Arial"/>
                <w:b/>
                <w:bCs/>
                <w:iCs/>
                <w:color w:val="auto"/>
                <w:lang w:eastAsia="en-US"/>
              </w:rPr>
            </w:pPr>
            <w:r>
              <w:rPr>
                <w:rFonts w:cs="Arial"/>
                <w:b/>
                <w:bCs/>
                <w:iCs/>
                <w:color w:val="auto"/>
                <w:lang w:eastAsia="en-US"/>
              </w:rPr>
              <w:t>Planning, implementation, and evaluation</w:t>
            </w:r>
          </w:p>
          <w:p w14:paraId="2ACE87EE" w14:textId="77777777" w:rsidR="003E4797" w:rsidRDefault="002D45DD">
            <w:pPr>
              <w:autoSpaceDN/>
              <w:spacing w:before="120"/>
              <w:rPr>
                <w:rFonts w:cs="Arial"/>
              </w:rPr>
            </w:pPr>
            <w:r>
              <w:rPr>
                <w:rFonts w:cs="Arial"/>
              </w:rPr>
              <w:t xml:space="preserve">In reviewing our current pupil premium strategy, we evaluated why actions undertaken in the previous year had not had the degree of impact that we had expected. </w:t>
            </w:r>
          </w:p>
          <w:p w14:paraId="441C4BEA" w14:textId="77777777" w:rsidR="003E4797" w:rsidRDefault="002D45DD">
            <w:pPr>
              <w:autoSpaceDN/>
              <w:spacing w:before="120"/>
              <w:rPr>
                <w:rFonts w:cs="Arial"/>
              </w:rPr>
            </w:pPr>
            <w:r>
              <w:rPr>
                <w:rFonts w:cs="Arial"/>
              </w:rPr>
              <w:t>We triangulated evidence from multiple sources of data including exams and assessments, engagement in class book scrutiny, and conversations with parents, pupils and teachers in order to identify the challenges faced by disadvantaged pupils. We also contacted schools with high-performing disadvantaged pupils to learn from their approach.</w:t>
            </w:r>
          </w:p>
          <w:p w14:paraId="33DF2736" w14:textId="77777777" w:rsidR="003E4797" w:rsidRDefault="002D45DD">
            <w:pPr>
              <w:autoSpaceDN/>
              <w:spacing w:before="120"/>
              <w:rPr>
                <w:rFonts w:cs="Arial"/>
              </w:rPr>
            </w:pPr>
            <w:r>
              <w:rPr>
                <w:rFonts w:cs="Arial"/>
              </w:rPr>
              <w:t xml:space="preserve">We looked at several reports and studies about effective use of pupil premium, the impact of disadvantage on education outcomes and how to address challenges to learning presented by socio-economic disadvantage. </w:t>
            </w:r>
          </w:p>
          <w:p w14:paraId="0E468343" w14:textId="77777777" w:rsidR="003E4797" w:rsidRDefault="002D45DD">
            <w:pPr>
              <w:spacing w:before="120" w:after="120"/>
              <w:rPr>
                <w:i/>
                <w:iCs/>
              </w:rPr>
            </w:pPr>
            <w:r>
              <w:rPr>
                <w:rFonts w:cs="Arial"/>
              </w:rPr>
              <w:t xml:space="preserve">We used the </w:t>
            </w:r>
            <w:hyperlink r:id="rId26" w:history="1">
              <w:r>
                <w:rPr>
                  <w:rFonts w:cs="Arial"/>
                </w:rPr>
                <w:t>EEF’s implementation guidance</w:t>
              </w:r>
            </w:hyperlink>
            <w:r>
              <w:rPr>
                <w:rFonts w:cs="Arial"/>
              </w:rPr>
              <w:t xml:space="preserve"> to help us develop our strategy and will continue to use it through the implementation of our activities. </w:t>
            </w:r>
          </w:p>
        </w:tc>
      </w:tr>
      <w:bookmarkEnd w:id="15"/>
      <w:bookmarkEnd w:id="16"/>
      <w:bookmarkEnd w:id="19"/>
    </w:tbl>
    <w:p w14:paraId="2946DB82" w14:textId="77777777" w:rsidR="003E4797" w:rsidRDefault="003E4797"/>
    <w:p w14:paraId="5997CC1D" w14:textId="77777777" w:rsidR="003E4797" w:rsidRDefault="002D45DD">
      <w:pPr>
        <w:tabs>
          <w:tab w:val="left" w:pos="2880"/>
        </w:tabs>
      </w:pPr>
      <w:r>
        <w:tab/>
      </w:r>
    </w:p>
    <w:sectPr w:rsidR="003E4797">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9A13" w14:textId="77777777" w:rsidR="00B0580A" w:rsidRDefault="00B0580A">
      <w:pPr>
        <w:spacing w:after="0" w:line="240" w:lineRule="auto"/>
      </w:pPr>
      <w:r>
        <w:separator/>
      </w:r>
    </w:p>
  </w:endnote>
  <w:endnote w:type="continuationSeparator" w:id="0">
    <w:p w14:paraId="33739E62" w14:textId="77777777" w:rsidR="00B0580A" w:rsidRDefault="00B0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821A" w14:textId="77777777" w:rsidR="003E4797" w:rsidRDefault="002D45DD">
    <w:pPr>
      <w:pStyle w:val="Footer"/>
      <w:ind w:firstLine="4513"/>
    </w:pPr>
    <w:r>
      <w:fldChar w:fldCharType="begin"/>
    </w:r>
    <w:r>
      <w:instrText xml:space="preserve"> PAGE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569DC" w14:textId="77777777" w:rsidR="00B0580A" w:rsidRDefault="00B0580A">
      <w:pPr>
        <w:spacing w:after="0" w:line="240" w:lineRule="auto"/>
      </w:pPr>
      <w:r>
        <w:separator/>
      </w:r>
    </w:p>
  </w:footnote>
  <w:footnote w:type="continuationSeparator" w:id="0">
    <w:p w14:paraId="21EB858A" w14:textId="77777777" w:rsidR="00B0580A" w:rsidRDefault="00B05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F23F" w14:textId="77777777" w:rsidR="003E4797" w:rsidRDefault="003E4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374954A"/>
    <w:lvl w:ilvl="0">
      <w:numFmt w:val="bullet"/>
      <w:lvlText w:val="*"/>
      <w:lvlJc w:val="left"/>
    </w:lvl>
  </w:abstractNum>
  <w:abstractNum w:abstractNumId="1" w15:restartNumberingAfterBreak="0">
    <w:nsid w:val="04222CE9"/>
    <w:multiLevelType w:val="hybridMultilevel"/>
    <w:tmpl w:val="60729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8F32AF"/>
    <w:multiLevelType w:val="hybridMultilevel"/>
    <w:tmpl w:val="35267E66"/>
    <w:lvl w:ilvl="0" w:tplc="BC78CE9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1AAF55FA"/>
    <w:multiLevelType w:val="hybridMultilevel"/>
    <w:tmpl w:val="B33A3C38"/>
    <w:lvl w:ilvl="0" w:tplc="092633DA">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276CBA"/>
    <w:multiLevelType w:val="hybridMultilevel"/>
    <w:tmpl w:val="C38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D2A4CF8"/>
    <w:multiLevelType w:val="hybridMultilevel"/>
    <w:tmpl w:val="1236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58C74D8"/>
    <w:multiLevelType w:val="hybridMultilevel"/>
    <w:tmpl w:val="C1E4C322"/>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 w15:restartNumberingAfterBreak="0">
    <w:nsid w:val="3CFD040C"/>
    <w:multiLevelType w:val="hybridMultilevel"/>
    <w:tmpl w:val="534CDB54"/>
    <w:lvl w:ilvl="0" w:tplc="659A57BC">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3F9741F2"/>
    <w:multiLevelType w:val="hybridMultilevel"/>
    <w:tmpl w:val="3784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21562F5"/>
    <w:multiLevelType w:val="hybridMultilevel"/>
    <w:tmpl w:val="5C20C85E"/>
    <w:lvl w:ilvl="0" w:tplc="1E7CEA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D1921"/>
    <w:multiLevelType w:val="hybridMultilevel"/>
    <w:tmpl w:val="8182E9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6B19EA"/>
    <w:multiLevelType w:val="hybridMultilevel"/>
    <w:tmpl w:val="BE9E2DFC"/>
    <w:lvl w:ilvl="0" w:tplc="3BB85B3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9" w15:restartNumberingAfterBreak="0">
    <w:nsid w:val="51F036E1"/>
    <w:multiLevelType w:val="hybridMultilevel"/>
    <w:tmpl w:val="CECC0318"/>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0822DD"/>
    <w:multiLevelType w:val="hybridMultilevel"/>
    <w:tmpl w:val="6B8A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407306B"/>
    <w:multiLevelType w:val="hybridMultilevel"/>
    <w:tmpl w:val="722C8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771FD5"/>
    <w:multiLevelType w:val="hybridMultilevel"/>
    <w:tmpl w:val="7E284D50"/>
    <w:lvl w:ilvl="0" w:tplc="F7E2478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4" w15:restartNumberingAfterBreak="0">
    <w:nsid w:val="66A91E88"/>
    <w:multiLevelType w:val="hybridMultilevel"/>
    <w:tmpl w:val="A0BA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70C91EF8"/>
    <w:multiLevelType w:val="hybridMultilevel"/>
    <w:tmpl w:val="81B0A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61C7436"/>
    <w:multiLevelType w:val="hybridMultilevel"/>
    <w:tmpl w:val="0AF0EEC2"/>
    <w:lvl w:ilvl="0" w:tplc="453C8050">
      <w:start w:val="1"/>
      <w:numFmt w:val="bullet"/>
      <w:lvlText w:val="•"/>
      <w:lvlJc w:val="left"/>
      <w:pPr>
        <w:tabs>
          <w:tab w:val="num" w:pos="720"/>
        </w:tabs>
        <w:ind w:left="720" w:hanging="360"/>
      </w:pPr>
      <w:rPr>
        <w:rFonts w:ascii="Arial" w:hAnsi="Arial" w:hint="default"/>
      </w:rPr>
    </w:lvl>
    <w:lvl w:ilvl="1" w:tplc="0B202276" w:tentative="1">
      <w:start w:val="1"/>
      <w:numFmt w:val="bullet"/>
      <w:lvlText w:val="•"/>
      <w:lvlJc w:val="left"/>
      <w:pPr>
        <w:tabs>
          <w:tab w:val="num" w:pos="1440"/>
        </w:tabs>
        <w:ind w:left="1440" w:hanging="360"/>
      </w:pPr>
      <w:rPr>
        <w:rFonts w:ascii="Arial" w:hAnsi="Arial" w:hint="default"/>
      </w:rPr>
    </w:lvl>
    <w:lvl w:ilvl="2" w:tplc="6526CB3E" w:tentative="1">
      <w:start w:val="1"/>
      <w:numFmt w:val="bullet"/>
      <w:lvlText w:val="•"/>
      <w:lvlJc w:val="left"/>
      <w:pPr>
        <w:tabs>
          <w:tab w:val="num" w:pos="2160"/>
        </w:tabs>
        <w:ind w:left="2160" w:hanging="360"/>
      </w:pPr>
      <w:rPr>
        <w:rFonts w:ascii="Arial" w:hAnsi="Arial" w:hint="default"/>
      </w:rPr>
    </w:lvl>
    <w:lvl w:ilvl="3" w:tplc="85EC2D3A" w:tentative="1">
      <w:start w:val="1"/>
      <w:numFmt w:val="bullet"/>
      <w:lvlText w:val="•"/>
      <w:lvlJc w:val="left"/>
      <w:pPr>
        <w:tabs>
          <w:tab w:val="num" w:pos="2880"/>
        </w:tabs>
        <w:ind w:left="2880" w:hanging="360"/>
      </w:pPr>
      <w:rPr>
        <w:rFonts w:ascii="Arial" w:hAnsi="Arial" w:hint="default"/>
      </w:rPr>
    </w:lvl>
    <w:lvl w:ilvl="4" w:tplc="6E786122" w:tentative="1">
      <w:start w:val="1"/>
      <w:numFmt w:val="bullet"/>
      <w:lvlText w:val="•"/>
      <w:lvlJc w:val="left"/>
      <w:pPr>
        <w:tabs>
          <w:tab w:val="num" w:pos="3600"/>
        </w:tabs>
        <w:ind w:left="3600" w:hanging="360"/>
      </w:pPr>
      <w:rPr>
        <w:rFonts w:ascii="Arial" w:hAnsi="Arial" w:hint="default"/>
      </w:rPr>
    </w:lvl>
    <w:lvl w:ilvl="5" w:tplc="D422C27A" w:tentative="1">
      <w:start w:val="1"/>
      <w:numFmt w:val="bullet"/>
      <w:lvlText w:val="•"/>
      <w:lvlJc w:val="left"/>
      <w:pPr>
        <w:tabs>
          <w:tab w:val="num" w:pos="4320"/>
        </w:tabs>
        <w:ind w:left="4320" w:hanging="360"/>
      </w:pPr>
      <w:rPr>
        <w:rFonts w:ascii="Arial" w:hAnsi="Arial" w:hint="default"/>
      </w:rPr>
    </w:lvl>
    <w:lvl w:ilvl="6" w:tplc="34842C04" w:tentative="1">
      <w:start w:val="1"/>
      <w:numFmt w:val="bullet"/>
      <w:lvlText w:val="•"/>
      <w:lvlJc w:val="left"/>
      <w:pPr>
        <w:tabs>
          <w:tab w:val="num" w:pos="5040"/>
        </w:tabs>
        <w:ind w:left="5040" w:hanging="360"/>
      </w:pPr>
      <w:rPr>
        <w:rFonts w:ascii="Arial" w:hAnsi="Arial" w:hint="default"/>
      </w:rPr>
    </w:lvl>
    <w:lvl w:ilvl="7" w:tplc="15D2717E" w:tentative="1">
      <w:start w:val="1"/>
      <w:numFmt w:val="bullet"/>
      <w:lvlText w:val="•"/>
      <w:lvlJc w:val="left"/>
      <w:pPr>
        <w:tabs>
          <w:tab w:val="num" w:pos="5760"/>
        </w:tabs>
        <w:ind w:left="5760" w:hanging="360"/>
      </w:pPr>
      <w:rPr>
        <w:rFonts w:ascii="Arial" w:hAnsi="Arial" w:hint="default"/>
      </w:rPr>
    </w:lvl>
    <w:lvl w:ilvl="8" w:tplc="577220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63511DA"/>
    <w:multiLevelType w:val="hybridMultilevel"/>
    <w:tmpl w:val="D1CAF342"/>
    <w:lvl w:ilvl="0" w:tplc="87BCC3D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abstractNumId w:val="7"/>
  </w:num>
  <w:num w:numId="2">
    <w:abstractNumId w:val="5"/>
  </w:num>
  <w:num w:numId="3">
    <w:abstractNumId w:val="9"/>
  </w:num>
  <w:num w:numId="4">
    <w:abstractNumId w:val="11"/>
  </w:num>
  <w:num w:numId="5">
    <w:abstractNumId w:val="2"/>
  </w:num>
  <w:num w:numId="6">
    <w:abstractNumId w:val="15"/>
  </w:num>
  <w:num w:numId="7">
    <w:abstractNumId w:val="25"/>
  </w:num>
  <w:num w:numId="8">
    <w:abstractNumId w:val="30"/>
  </w:num>
  <w:num w:numId="9">
    <w:abstractNumId w:val="28"/>
  </w:num>
  <w:num w:numId="10">
    <w:abstractNumId w:val="26"/>
  </w:num>
  <w:num w:numId="11">
    <w:abstractNumId w:val="6"/>
  </w:num>
  <w:num w:numId="12">
    <w:abstractNumId w:val="29"/>
  </w:num>
  <w:num w:numId="13">
    <w:abstractNumId w:val="21"/>
  </w:num>
  <w:num w:numId="14">
    <w:abstractNumId w:val="19"/>
  </w:num>
  <w:num w:numId="15">
    <w:abstractNumId w:val="12"/>
  </w:num>
  <w:num w:numId="16">
    <w:abstractNumId w:val="32"/>
  </w:num>
  <w:num w:numId="17">
    <w:abstractNumId w:val="18"/>
  </w:num>
  <w:num w:numId="18">
    <w:abstractNumId w:val="3"/>
  </w:num>
  <w:num w:numId="19">
    <w:abstractNumId w:val="13"/>
  </w:num>
  <w:num w:numId="20">
    <w:abstractNumId w:val="4"/>
  </w:num>
  <w:num w:numId="21">
    <w:abstractNumId w:val="17"/>
  </w:num>
  <w:num w:numId="22">
    <w:abstractNumId w:val="27"/>
  </w:num>
  <w:num w:numId="23">
    <w:abstractNumId w:val="1"/>
  </w:num>
  <w:num w:numId="24">
    <w:abstractNumId w:val="0"/>
    <w:lvlOverride w:ilvl="0">
      <w:lvl w:ilvl="0">
        <w:numFmt w:val="bullet"/>
        <w:lvlText w:val="•"/>
        <w:legacy w:legacy="1" w:legacySpace="0" w:legacyIndent="0"/>
        <w:lvlJc w:val="left"/>
        <w:rPr>
          <w:rFonts w:ascii="Arial" w:hAnsi="Arial" w:cs="Arial" w:hint="default"/>
          <w:sz w:val="40"/>
        </w:rPr>
      </w:lvl>
    </w:lvlOverride>
  </w:num>
  <w:num w:numId="25">
    <w:abstractNumId w:val="14"/>
  </w:num>
  <w:num w:numId="26">
    <w:abstractNumId w:val="23"/>
  </w:num>
  <w:num w:numId="27">
    <w:abstractNumId w:val="31"/>
  </w:num>
  <w:num w:numId="28">
    <w:abstractNumId w:val="10"/>
  </w:num>
  <w:num w:numId="29">
    <w:abstractNumId w:val="16"/>
  </w:num>
  <w:num w:numId="30">
    <w:abstractNumId w:val="8"/>
  </w:num>
  <w:num w:numId="31">
    <w:abstractNumId w:val="24"/>
  </w:num>
  <w:num w:numId="32">
    <w:abstractNumId w:val="30"/>
  </w:num>
  <w:num w:numId="33">
    <w:abstractNumId w:val="2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97"/>
    <w:rsid w:val="0002203F"/>
    <w:rsid w:val="000D0885"/>
    <w:rsid w:val="00166861"/>
    <w:rsid w:val="001776EE"/>
    <w:rsid w:val="00183440"/>
    <w:rsid w:val="00272225"/>
    <w:rsid w:val="002D45DD"/>
    <w:rsid w:val="002E5C03"/>
    <w:rsid w:val="0035673E"/>
    <w:rsid w:val="00367568"/>
    <w:rsid w:val="003811FD"/>
    <w:rsid w:val="003E4797"/>
    <w:rsid w:val="00411FE1"/>
    <w:rsid w:val="004723D4"/>
    <w:rsid w:val="004A4D34"/>
    <w:rsid w:val="004F06AA"/>
    <w:rsid w:val="004F0BB4"/>
    <w:rsid w:val="005659AD"/>
    <w:rsid w:val="00664EA7"/>
    <w:rsid w:val="00680112"/>
    <w:rsid w:val="00696CE5"/>
    <w:rsid w:val="00697718"/>
    <w:rsid w:val="007A781C"/>
    <w:rsid w:val="00864E37"/>
    <w:rsid w:val="00933EB4"/>
    <w:rsid w:val="00962FE1"/>
    <w:rsid w:val="00997C45"/>
    <w:rsid w:val="009A63BA"/>
    <w:rsid w:val="00B00288"/>
    <w:rsid w:val="00B02D53"/>
    <w:rsid w:val="00B0580A"/>
    <w:rsid w:val="00B3437B"/>
    <w:rsid w:val="00B44D67"/>
    <w:rsid w:val="00BB6B67"/>
    <w:rsid w:val="00C140FD"/>
    <w:rsid w:val="00C729E3"/>
    <w:rsid w:val="00DC01C8"/>
    <w:rsid w:val="00DD0502"/>
    <w:rsid w:val="00E211B1"/>
    <w:rsid w:val="00E50E9F"/>
    <w:rsid w:val="00E65C07"/>
    <w:rsid w:val="00EB4EEF"/>
    <w:rsid w:val="00F212D1"/>
    <w:rsid w:val="00F85270"/>
    <w:rsid w:val="00F93EB8"/>
    <w:rsid w:val="00FB0825"/>
    <w:rsid w:val="0693D1D8"/>
    <w:rsid w:val="223197C9"/>
    <w:rsid w:val="30DB94A9"/>
    <w:rsid w:val="3580ACE8"/>
    <w:rsid w:val="3789081A"/>
    <w:rsid w:val="59D420CB"/>
    <w:rsid w:val="5DD23796"/>
    <w:rsid w:val="5F9FF862"/>
    <w:rsid w:val="70B7BE6B"/>
    <w:rsid w:val="728F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EA4D"/>
  <w15:docId w15:val="{CBDD2668-D43C-485E-A711-09B24DE8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uiPriority w:val="10"/>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pPr>
      <w:autoSpaceDN/>
    </w:pPr>
    <w:rPr>
      <w:rFonts w:asciiTheme="minorHAnsi" w:hAnsiTheme="minorHAnsi"/>
      <w:sz w:val="22"/>
      <w:szCs w:val="22"/>
      <w:lang w:eastAsia="en-US"/>
    </w:rPr>
  </w:style>
  <w:style w:type="character" w:customStyle="1" w:styleId="ListParagraphChar">
    <w:name w:val="List Paragraph Char"/>
    <w:aliases w:val="NumberedList Char,Colorful List - Accent 11 Char"/>
    <w:link w:val="ListParagraph"/>
    <w:uiPriority w:val="34"/>
    <w:rPr>
      <w:color w:val="0D0D0D"/>
      <w:sz w:val="24"/>
      <w:szCs w:val="24"/>
    </w:rPr>
  </w:style>
  <w:style w:type="paragraph" w:customStyle="1" w:styleId="Default">
    <w:name w:val="Default"/>
    <w:pPr>
      <w:autoSpaceDE w:val="0"/>
      <w:adjustRightInd w:val="0"/>
    </w:pPr>
    <w:rPr>
      <w:rFonts w:ascii="Century Gothic" w:hAnsi="Century Gothic" w:cs="Century Gothic"/>
      <w:color w:val="000000"/>
      <w:sz w:val="24"/>
      <w:szCs w:val="24"/>
    </w:r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semiHidden/>
    <w:locked/>
    <w:rPr>
      <w:rFonts w:ascii="Times New Roman" w:hAnsi="Times New Roman"/>
      <w:sz w:val="24"/>
      <w:szCs w:val="24"/>
    </w:rPr>
  </w:style>
  <w:style w:type="paragraph" w:styleId="NormalWeb">
    <w:name w:val="Normal (Web)"/>
    <w:basedOn w:val="Normal"/>
    <w:link w:val="NormalWebChar"/>
    <w:uiPriority w:val="99"/>
    <w:semiHidden/>
    <w:unhideWhenUse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6893">
      <w:bodyDiv w:val="1"/>
      <w:marLeft w:val="0"/>
      <w:marRight w:val="0"/>
      <w:marTop w:val="0"/>
      <w:marBottom w:val="0"/>
      <w:divBdr>
        <w:top w:val="none" w:sz="0" w:space="0" w:color="auto"/>
        <w:left w:val="none" w:sz="0" w:space="0" w:color="auto"/>
        <w:bottom w:val="none" w:sz="0" w:space="0" w:color="auto"/>
        <w:right w:val="none" w:sz="0" w:space="0" w:color="auto"/>
      </w:divBdr>
    </w:div>
    <w:div w:id="803037995">
      <w:bodyDiv w:val="1"/>
      <w:marLeft w:val="0"/>
      <w:marRight w:val="0"/>
      <w:marTop w:val="0"/>
      <w:marBottom w:val="0"/>
      <w:divBdr>
        <w:top w:val="none" w:sz="0" w:space="0" w:color="auto"/>
        <w:left w:val="none" w:sz="0" w:space="0" w:color="auto"/>
        <w:bottom w:val="none" w:sz="0" w:space="0" w:color="auto"/>
        <w:right w:val="none" w:sz="0" w:space="0" w:color="auto"/>
      </w:divBdr>
    </w:div>
    <w:div w:id="1456871101">
      <w:bodyDiv w:val="1"/>
      <w:marLeft w:val="0"/>
      <w:marRight w:val="0"/>
      <w:marTop w:val="0"/>
      <w:marBottom w:val="0"/>
      <w:divBdr>
        <w:top w:val="none" w:sz="0" w:space="0" w:color="auto"/>
        <w:left w:val="none" w:sz="0" w:space="0" w:color="auto"/>
        <w:bottom w:val="none" w:sz="0" w:space="0" w:color="auto"/>
        <w:right w:val="none" w:sz="0" w:space="0" w:color="auto"/>
      </w:divBdr>
    </w:div>
    <w:div w:id="1586763137">
      <w:bodyDiv w:val="1"/>
      <w:marLeft w:val="0"/>
      <w:marRight w:val="0"/>
      <w:marTop w:val="0"/>
      <w:marBottom w:val="0"/>
      <w:divBdr>
        <w:top w:val="none" w:sz="0" w:space="0" w:color="auto"/>
        <w:left w:val="none" w:sz="0" w:space="0" w:color="auto"/>
        <w:bottom w:val="none" w:sz="0" w:space="0" w:color="auto"/>
        <w:right w:val="none" w:sz="0" w:space="0" w:color="auto"/>
      </w:divBdr>
    </w:div>
    <w:div w:id="1961106420">
      <w:bodyDiv w:val="1"/>
      <w:marLeft w:val="0"/>
      <w:marRight w:val="0"/>
      <w:marTop w:val="0"/>
      <w:marBottom w:val="0"/>
      <w:divBdr>
        <w:top w:val="none" w:sz="0" w:space="0" w:color="auto"/>
        <w:left w:val="none" w:sz="0" w:space="0" w:color="auto"/>
        <w:bottom w:val="none" w:sz="0" w:space="0" w:color="auto"/>
        <w:right w:val="none" w:sz="0" w:space="0" w:color="auto"/>
      </w:divBdr>
      <w:divsChild>
        <w:div w:id="227040642">
          <w:marLeft w:val="274"/>
          <w:marRight w:val="0"/>
          <w:marTop w:val="0"/>
          <w:marBottom w:val="0"/>
          <w:divBdr>
            <w:top w:val="none" w:sz="0" w:space="0" w:color="auto"/>
            <w:left w:val="none" w:sz="0" w:space="0" w:color="auto"/>
            <w:bottom w:val="none" w:sz="0" w:space="0" w:color="auto"/>
            <w:right w:val="none" w:sz="0" w:space="0" w:color="auto"/>
          </w:divBdr>
        </w:div>
        <w:div w:id="1423991560">
          <w:marLeft w:val="274"/>
          <w:marRight w:val="0"/>
          <w:marTop w:val="0"/>
          <w:marBottom w:val="0"/>
          <w:divBdr>
            <w:top w:val="none" w:sz="0" w:space="0" w:color="auto"/>
            <w:left w:val="none" w:sz="0" w:space="0" w:color="auto"/>
            <w:bottom w:val="none" w:sz="0" w:space="0" w:color="auto"/>
            <w:right w:val="none" w:sz="0" w:space="0" w:color="auto"/>
          </w:divBdr>
        </w:div>
        <w:div w:id="151761734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o.sussex.ac.uk/id/eprint/70702/1/__smbhome.uscs.susx.ac.uk_dm50_Desktop_Westbrook%20et%20al.pdf" TargetMode="External"/><Relationship Id="rId18" Type="http://schemas.openxmlformats.org/officeDocument/2006/relationships/hyperlink" Target="https://educationendowmentfoundation.org.uk/education-evidence/teaching-learning-toolkit/mentoring" TargetMode="External"/><Relationship Id="rId26" Type="http://schemas.openxmlformats.org/officeDocument/2006/relationships/hyperlink" Target="https://educationendowmentfoundation.org.uk/education-evidence/guidance-reports/implementation"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80772/DFE-00036-2012_improving_attendance_at_school.pdf"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literacy-ks3-ks4" TargetMode="External"/><Relationship Id="rId17" Type="http://schemas.openxmlformats.org/officeDocument/2006/relationships/hyperlink" Target="https://educationendowmentfoundation.org.uk/news/good-literacy-crucial-for-science-achievement-for-disadvantaged-pupils" TargetMode="External"/><Relationship Id="rId25" Type="http://schemas.openxmlformats.org/officeDocument/2006/relationships/hyperlink" Target="https://www.gov.uk/guidance/mental-health-and-wellbeing-support-in-schools-and-colleges"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extending-school-time" TargetMode="External"/><Relationship Id="rId20" Type="http://schemas.openxmlformats.org/officeDocument/2006/relationships/hyperlink" Target="https://educationendowmentfoundation.org.uk/education-evidence/teaching-learning-toolkit/individualised-instruc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EM\AppData\Roaming\Microsoft\Word\abs%20abs%20-%20Copy.xlsx.xlsm" TargetMode="External"/><Relationship Id="rId24" Type="http://schemas.openxmlformats.org/officeDocument/2006/relationships/hyperlink" Target="https://educationendowmentfoundation.org.uk/education-evidence/teaching-learning-toolkit/arts-participation"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teaching-assistant-interventions" TargetMode="External"/><Relationship Id="rId23" Type="http://schemas.openxmlformats.org/officeDocument/2006/relationships/hyperlink" Target="https://educationendowmentfoundation.org.uk/education-evidence/teaching-learning-toolkit/summer-schools" TargetMode="External"/><Relationship Id="rId28" Type="http://schemas.openxmlformats.org/officeDocument/2006/relationships/footer" Target="footer1.xml"/><Relationship Id="rId10" Type="http://schemas.openxmlformats.org/officeDocument/2006/relationships/hyperlink" Target="https://www.gov.uk/government/publications/the-pupil-premium-how-schools-are-spending-the-funding-successfully" TargetMode="External"/><Relationship Id="rId19"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small-group-tuition" TargetMode="External"/><Relationship Id="rId22" Type="http://schemas.openxmlformats.org/officeDocument/2006/relationships/hyperlink" Target="https://www.nuffieldfoundation.org/project/out-of-school-activities-and-the-education-ga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9D317AC614B439694E9B9D937D2FC" ma:contentTypeVersion="3" ma:contentTypeDescription="Create a new document." ma:contentTypeScope="" ma:versionID="1c734b8a3000e7185c3935ff72d18680">
  <xsd:schema xmlns:xsd="http://www.w3.org/2001/XMLSchema" xmlns:xs="http://www.w3.org/2001/XMLSchema" xmlns:p="http://schemas.microsoft.com/office/2006/metadata/properties" xmlns:ns2="f07ba9d9-80b1-47d1-bc49-a6f69f9849d3" targetNamespace="http://schemas.microsoft.com/office/2006/metadata/properties" ma:root="true" ma:fieldsID="560428b80e9b3f57e902c4693f4d8414" ns2:_="">
    <xsd:import namespace="f07ba9d9-80b1-47d1-bc49-a6f69f9849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ba9d9-80b1-47d1-bc49-a6f69f984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8A4C3-A766-4ED4-8D99-53FBB97B77F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07ba9d9-80b1-47d1-bc49-a6f69f9849d3"/>
    <ds:schemaRef ds:uri="http://www.w3.org/XML/1998/namespace"/>
  </ds:schemaRefs>
</ds:datastoreItem>
</file>

<file path=customXml/itemProps2.xml><?xml version="1.0" encoding="utf-8"?>
<ds:datastoreItem xmlns:ds="http://schemas.openxmlformats.org/officeDocument/2006/customXml" ds:itemID="{04F5A604-AD5C-47F8-8E15-D481C08CB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ba9d9-80b1-47d1-bc49-a6f69f984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4A993-388B-4181-9522-FF21B1DD5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3137</Words>
  <Characters>17885</Characters>
  <Application>Microsoft Office Word</Application>
  <DocSecurity>0</DocSecurity>
  <Lines>149</Lines>
  <Paragraphs>41</Paragraphs>
  <ScaleCrop>false</ScaleCrop>
  <Company/>
  <LinksUpToDate>false</LinksUpToDate>
  <CharactersWithSpaces>20981</CharactersWithSpaces>
  <SharedDoc>false</SharedDoc>
  <HLinks>
    <vt:vector size="108"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2424933</vt:i4>
      </vt:variant>
      <vt:variant>
        <vt:i4>48</vt:i4>
      </vt:variant>
      <vt:variant>
        <vt:i4>0</vt:i4>
      </vt:variant>
      <vt:variant>
        <vt:i4>5</vt:i4>
      </vt:variant>
      <vt:variant>
        <vt:lpwstr>https://www.gov.uk/guidance/mental-health-and-wellbeing-support-in-schools-and-colleges</vt:lpwstr>
      </vt:variant>
      <vt:variant>
        <vt:lpwstr>MHST</vt:lpwstr>
      </vt:variant>
      <vt:variant>
        <vt:i4>7405684</vt:i4>
      </vt:variant>
      <vt:variant>
        <vt:i4>45</vt:i4>
      </vt:variant>
      <vt:variant>
        <vt:i4>0</vt:i4>
      </vt:variant>
      <vt:variant>
        <vt:i4>5</vt:i4>
      </vt:variant>
      <vt:variant>
        <vt:lpwstr>https://educationendowmentfoundation.org.uk/education-evidence/teaching-learning-toolkit/arts-participation</vt:lpwstr>
      </vt:variant>
      <vt:variant>
        <vt:lpwstr/>
      </vt:variant>
      <vt:variant>
        <vt:i4>6422625</vt:i4>
      </vt:variant>
      <vt:variant>
        <vt:i4>42</vt:i4>
      </vt:variant>
      <vt:variant>
        <vt:i4>0</vt:i4>
      </vt:variant>
      <vt:variant>
        <vt:i4>5</vt:i4>
      </vt:variant>
      <vt:variant>
        <vt:lpwstr>https://educationendowmentfoundation.org.uk/education-evidence/teaching-learning-toolkit/summer-schools</vt:lpwstr>
      </vt:variant>
      <vt:variant>
        <vt:lpwstr/>
      </vt:variant>
      <vt:variant>
        <vt:i4>720925</vt:i4>
      </vt:variant>
      <vt:variant>
        <vt:i4>39</vt:i4>
      </vt:variant>
      <vt:variant>
        <vt:i4>0</vt:i4>
      </vt:variant>
      <vt:variant>
        <vt:i4>5</vt:i4>
      </vt:variant>
      <vt:variant>
        <vt:lpwstr>https://www.nuffieldfoundation.org/project/out-of-school-activities-and-the-education-gap</vt:lpwstr>
      </vt:variant>
      <vt:variant>
        <vt:lpwstr/>
      </vt:variant>
      <vt:variant>
        <vt:i4>1310847</vt:i4>
      </vt:variant>
      <vt:variant>
        <vt:i4>36</vt:i4>
      </vt:variant>
      <vt:variant>
        <vt:i4>0</vt:i4>
      </vt:variant>
      <vt:variant>
        <vt:i4>5</vt:i4>
      </vt:variant>
      <vt:variant>
        <vt:lpwstr>https://assets.publishing.service.gov.uk/government/uploads/system/uploads/attachment_data/file/180772/DFE-00036-2012_improving_attendance_at_school.pdf</vt:lpwstr>
      </vt:variant>
      <vt:variant>
        <vt:lpwstr/>
      </vt:variant>
      <vt:variant>
        <vt:i4>6815868</vt:i4>
      </vt:variant>
      <vt:variant>
        <vt:i4>33</vt:i4>
      </vt:variant>
      <vt:variant>
        <vt:i4>0</vt:i4>
      </vt:variant>
      <vt:variant>
        <vt:i4>5</vt:i4>
      </vt:variant>
      <vt:variant>
        <vt:lpwstr>https://educationendowmentfoundation.org.uk/education-evidence/teaching-learning-toolkit/social-and-emotional-learning</vt:lpwstr>
      </vt:variant>
      <vt:variant>
        <vt:lpwstr/>
      </vt:variant>
      <vt:variant>
        <vt:i4>8323197</vt:i4>
      </vt:variant>
      <vt:variant>
        <vt:i4>30</vt:i4>
      </vt:variant>
      <vt:variant>
        <vt:i4>0</vt:i4>
      </vt:variant>
      <vt:variant>
        <vt:i4>5</vt:i4>
      </vt:variant>
      <vt:variant>
        <vt:lpwstr>https://educationendowmentfoundation.org.uk/education-evidence/teaching-learning-toolkit/individualised-instruction</vt:lpwstr>
      </vt:variant>
      <vt:variant>
        <vt:lpwstr/>
      </vt:variant>
      <vt:variant>
        <vt:i4>5701726</vt:i4>
      </vt:variant>
      <vt:variant>
        <vt:i4>27</vt:i4>
      </vt:variant>
      <vt:variant>
        <vt:i4>0</vt:i4>
      </vt:variant>
      <vt:variant>
        <vt:i4>5</vt:i4>
      </vt:variant>
      <vt:variant>
        <vt:lpwstr>https://educationendowmentfoundation.org.uk/education-evidence/teaching-learning-toolkit/behaviour-interventions</vt:lpwstr>
      </vt:variant>
      <vt:variant>
        <vt:lpwstr/>
      </vt:variant>
      <vt:variant>
        <vt:i4>3539058</vt:i4>
      </vt:variant>
      <vt:variant>
        <vt:i4>24</vt:i4>
      </vt:variant>
      <vt:variant>
        <vt:i4>0</vt:i4>
      </vt:variant>
      <vt:variant>
        <vt:i4>5</vt:i4>
      </vt:variant>
      <vt:variant>
        <vt:lpwstr>https://educationendowmentfoundation.org.uk/education-evidence/teaching-learning-toolkit/mentoring</vt:lpwstr>
      </vt:variant>
      <vt:variant>
        <vt:lpwstr/>
      </vt:variant>
      <vt:variant>
        <vt:i4>7012410</vt:i4>
      </vt:variant>
      <vt:variant>
        <vt:i4>21</vt:i4>
      </vt:variant>
      <vt:variant>
        <vt:i4>0</vt:i4>
      </vt:variant>
      <vt:variant>
        <vt:i4>5</vt:i4>
      </vt:variant>
      <vt:variant>
        <vt:lpwstr>https://educationendowmentfoundation.org.uk/news/good-literacy-crucial-for-science-achievement-for-disadvantaged-pupils</vt:lpwstr>
      </vt:variant>
      <vt:variant>
        <vt:lpwstr/>
      </vt:variant>
      <vt:variant>
        <vt:i4>7340092</vt:i4>
      </vt:variant>
      <vt:variant>
        <vt:i4>18</vt:i4>
      </vt:variant>
      <vt:variant>
        <vt:i4>0</vt:i4>
      </vt:variant>
      <vt:variant>
        <vt:i4>5</vt:i4>
      </vt:variant>
      <vt:variant>
        <vt:lpwstr>https://educationendowmentfoundation.org.uk/education-evidence/teaching-learning-toolkit/extending-school-time</vt:lpwstr>
      </vt:variant>
      <vt:variant>
        <vt:lpwstr/>
      </vt:variant>
      <vt:variant>
        <vt:i4>5439506</vt:i4>
      </vt:variant>
      <vt:variant>
        <vt:i4>15</vt:i4>
      </vt:variant>
      <vt:variant>
        <vt:i4>0</vt:i4>
      </vt:variant>
      <vt:variant>
        <vt:i4>5</vt:i4>
      </vt:variant>
      <vt:variant>
        <vt:lpwstr>https://educationendowmentfoundation.org.uk/education-evidence/teaching-learning-toolkit/teaching-assistant-interventions</vt:lpwstr>
      </vt:variant>
      <vt:variant>
        <vt:lpwstr/>
      </vt:variant>
      <vt:variant>
        <vt:i4>4718615</vt:i4>
      </vt:variant>
      <vt:variant>
        <vt:i4>12</vt:i4>
      </vt:variant>
      <vt:variant>
        <vt:i4>0</vt:i4>
      </vt:variant>
      <vt:variant>
        <vt:i4>5</vt:i4>
      </vt:variant>
      <vt:variant>
        <vt:lpwstr>https://educationendowmentfoundation.org.uk/education-evidence/teaching-learning-toolkit/small-group-tuition</vt:lpwstr>
      </vt:variant>
      <vt:variant>
        <vt:lpwstr/>
      </vt:variant>
      <vt:variant>
        <vt:i4>1703985</vt:i4>
      </vt:variant>
      <vt:variant>
        <vt:i4>9</vt:i4>
      </vt:variant>
      <vt:variant>
        <vt:i4>0</vt:i4>
      </vt:variant>
      <vt:variant>
        <vt:i4>5</vt:i4>
      </vt:variant>
      <vt:variant>
        <vt:lpwstr>http://sro.sussex.ac.uk/id/eprint/70702/1/__smbhome.uscs.susx.ac.uk_dm50_Desktop_Westbrook et al.pdf</vt:lpwstr>
      </vt:variant>
      <vt:variant>
        <vt:lpwstr/>
      </vt:variant>
      <vt:variant>
        <vt:i4>1310722</vt:i4>
      </vt:variant>
      <vt:variant>
        <vt:i4>6</vt:i4>
      </vt:variant>
      <vt:variant>
        <vt:i4>0</vt:i4>
      </vt:variant>
      <vt:variant>
        <vt:i4>5</vt:i4>
      </vt:variant>
      <vt:variant>
        <vt:lpwstr>https://educationendowmentfoundation.org.uk/education-evidence/guidance-reports/literacy-ks3-ks4</vt:lpwstr>
      </vt:variant>
      <vt:variant>
        <vt:lpwstr/>
      </vt:variant>
      <vt:variant>
        <vt:i4>6553601</vt:i4>
      </vt:variant>
      <vt:variant>
        <vt:i4>3</vt:i4>
      </vt:variant>
      <vt:variant>
        <vt:i4>0</vt:i4>
      </vt:variant>
      <vt:variant>
        <vt:i4>5</vt:i4>
      </vt:variant>
      <vt:variant>
        <vt:lpwstr>C:\Users\MEM\AppData\Roaming\Microsoft\Word\abs abs - Copy.xlsx.xlsm</vt:lpwstr>
      </vt:variant>
      <vt:variant>
        <vt:lpwstr/>
      </vt:variant>
      <vt:variant>
        <vt:i4>8323127</vt:i4>
      </vt:variant>
      <vt:variant>
        <vt:i4>0</vt:i4>
      </vt:variant>
      <vt:variant>
        <vt:i4>0</vt:i4>
      </vt:variant>
      <vt:variant>
        <vt:i4>5</vt:i4>
      </vt:variant>
      <vt:variant>
        <vt:lpwstr>https://www.gov.uk/government/publications/the-pupil-premium-how-schools-are-spending-the-funding-successfully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Rob Wood</cp:lastModifiedBy>
  <cp:revision>29</cp:revision>
  <cp:lastPrinted>2022-12-05T21:51:00Z</cp:lastPrinted>
  <dcterms:created xsi:type="dcterms:W3CDTF">2025-10-01T19:18:00Z</dcterms:created>
  <dcterms:modified xsi:type="dcterms:W3CDTF">2026-01-07T10:47:00Z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0x010100B969D317AC614B439694E9B9D937D2FC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